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3A3D" w:rsidRDefault="00653A3D">
      <w:pPr>
        <w:pBdr>
          <w:top w:val="nil"/>
          <w:left w:val="nil"/>
          <w:bottom w:val="nil"/>
          <w:right w:val="nil"/>
          <w:between w:val="nil"/>
        </w:pBdr>
      </w:pPr>
    </w:p>
    <w:tbl>
      <w:tblPr>
        <w:tblStyle w:val="aa"/>
        <w:tblW w:w="900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1830"/>
        <w:gridCol w:w="7170"/>
      </w:tblGrid>
      <w:tr w:rsidR="00653A3D">
        <w:tc>
          <w:tcPr>
            <w:tcW w:w="18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653A3D" w:rsidRDefault="00F37DF5">
            <w:pPr>
              <w:pBdr>
                <w:top w:val="nil"/>
                <w:left w:val="nil"/>
                <w:bottom w:val="nil"/>
                <w:right w:val="nil"/>
                <w:between w:val="nil"/>
              </w:pBdr>
              <w:jc w:val="right"/>
              <w:rPr>
                <w:b/>
              </w:rPr>
            </w:pPr>
            <w:r>
              <w:rPr>
                <w:b/>
              </w:rPr>
              <w:t>Datum:</w:t>
            </w:r>
          </w:p>
        </w:tc>
        <w:tc>
          <w:tcPr>
            <w:tcW w:w="71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653A3D" w:rsidRDefault="00F37DF5">
            <w:pPr>
              <w:widowControl w:val="0"/>
              <w:pBdr>
                <w:top w:val="nil"/>
                <w:left w:val="nil"/>
                <w:bottom w:val="nil"/>
                <w:right w:val="nil"/>
                <w:between w:val="nil"/>
              </w:pBdr>
              <w:spacing w:line="240" w:lineRule="auto"/>
            </w:pPr>
            <w:r>
              <w:t xml:space="preserve"> 2020-</w:t>
            </w:r>
            <w:r w:rsidR="00EB5C73">
              <w:t>03</w:t>
            </w:r>
            <w:r>
              <w:t>-02</w:t>
            </w:r>
          </w:p>
        </w:tc>
      </w:tr>
    </w:tbl>
    <w:p w:rsidR="00653A3D" w:rsidRDefault="00653A3D">
      <w:pPr>
        <w:spacing w:before="240" w:after="240"/>
        <w:rPr>
          <w:rFonts w:ascii="Calibri" w:eastAsia="Calibri" w:hAnsi="Calibri" w:cs="Calibri"/>
          <w:b/>
        </w:rPr>
      </w:pPr>
    </w:p>
    <w:p w:rsidR="00653A3D" w:rsidRDefault="00653A3D">
      <w:pPr>
        <w:spacing w:before="240" w:after="240"/>
        <w:rPr>
          <w:rFonts w:ascii="Calibri" w:eastAsia="Calibri" w:hAnsi="Calibri" w:cs="Calibri"/>
          <w:b/>
        </w:rPr>
      </w:pPr>
    </w:p>
    <w:p w:rsidR="00653A3D" w:rsidRDefault="00653A3D">
      <w:pPr>
        <w:spacing w:before="240" w:after="240"/>
        <w:rPr>
          <w:rFonts w:ascii="Calibri" w:eastAsia="Calibri" w:hAnsi="Calibri" w:cs="Calibri"/>
          <w:b/>
        </w:rPr>
      </w:pPr>
    </w:p>
    <w:p w:rsidR="00653A3D" w:rsidRDefault="00F37DF5">
      <w:pPr>
        <w:pStyle w:val="Rubrik"/>
        <w:spacing w:before="480" w:after="120"/>
        <w:jc w:val="center"/>
      </w:pPr>
      <w:bookmarkStart w:id="0" w:name="_heading=h.bvb2bgpb4nh5" w:colFirst="0" w:colLast="0"/>
      <w:bookmarkEnd w:id="0"/>
      <w:r>
        <w:t>Finans- risk- &amp; etikpolicy</w:t>
      </w:r>
    </w:p>
    <w:p w:rsidR="00653A3D" w:rsidRDefault="00653A3D">
      <w:pPr>
        <w:pStyle w:val="Rubrik1"/>
      </w:pPr>
      <w:bookmarkStart w:id="1" w:name="_heading=h.mrp5h2bqyjx4" w:colFirst="0" w:colLast="0"/>
      <w:bookmarkEnd w:id="1"/>
    </w:p>
    <w:p w:rsidR="00653A3D" w:rsidRDefault="00F37DF5">
      <w:pPr>
        <w:pStyle w:val="Rubrik1"/>
      </w:pPr>
      <w:bookmarkStart w:id="2" w:name="_heading=h.vltba4ynmejz" w:colFirst="0" w:colLast="0"/>
      <w:bookmarkEnd w:id="2"/>
      <w:r>
        <w:t>Innehåll</w:t>
      </w:r>
    </w:p>
    <w:sdt>
      <w:sdtPr>
        <w:id w:val="989213291"/>
        <w:docPartObj>
          <w:docPartGallery w:val="Table of Contents"/>
          <w:docPartUnique/>
        </w:docPartObj>
      </w:sdtPr>
      <w:sdtEndPr/>
      <w:sdtContent>
        <w:p w:rsidR="00653A3D" w:rsidRDefault="00F37DF5">
          <w:pPr>
            <w:tabs>
              <w:tab w:val="right" w:pos="10065"/>
            </w:tabs>
            <w:spacing w:before="200" w:line="240" w:lineRule="auto"/>
          </w:pPr>
          <w:r>
            <w:fldChar w:fldCharType="begin"/>
          </w:r>
          <w:r>
            <w:instrText xml:space="preserve"> TOC \h \u \z </w:instrText>
          </w:r>
          <w:r>
            <w:fldChar w:fldCharType="separate"/>
          </w:r>
          <w:hyperlink w:anchor="_heading=h.ga4zdpv2t3e2">
            <w:r>
              <w:rPr>
                <w:b/>
              </w:rPr>
              <w:t>Riskanalys</w:t>
            </w:r>
          </w:hyperlink>
          <w:r>
            <w:rPr>
              <w:b/>
            </w:rPr>
            <w:tab/>
          </w:r>
          <w:r>
            <w:fldChar w:fldCharType="begin"/>
          </w:r>
          <w:r>
            <w:instrText xml:space="preserve"> PAGEREF _heading=h.ga4zdpv2t3e2 \h </w:instrText>
          </w:r>
          <w:r>
            <w:fldChar w:fldCharType="separate"/>
          </w:r>
          <w:r>
            <w:rPr>
              <w:b/>
            </w:rPr>
            <w:t>1</w:t>
          </w:r>
          <w:r>
            <w:fldChar w:fldCharType="end"/>
          </w:r>
        </w:p>
        <w:p w:rsidR="00653A3D" w:rsidRDefault="008E6BC5">
          <w:pPr>
            <w:tabs>
              <w:tab w:val="right" w:pos="10065"/>
            </w:tabs>
            <w:spacing w:before="60" w:line="240" w:lineRule="auto"/>
            <w:ind w:left="360"/>
          </w:pPr>
          <w:hyperlink w:anchor="_heading=h.q557ugjaehtu">
            <w:r w:rsidR="00F37DF5">
              <w:t>Ekonomiska risker</w:t>
            </w:r>
          </w:hyperlink>
          <w:r w:rsidR="00F37DF5">
            <w:tab/>
          </w:r>
          <w:r w:rsidR="00F37DF5">
            <w:fldChar w:fldCharType="begin"/>
          </w:r>
          <w:r w:rsidR="00F37DF5">
            <w:instrText xml:space="preserve"> PAGEREF _heading=h.q557ugjaehtu \h </w:instrText>
          </w:r>
          <w:r w:rsidR="00F37DF5">
            <w:fldChar w:fldCharType="separate"/>
          </w:r>
          <w:r w:rsidR="00F37DF5">
            <w:t>2</w:t>
          </w:r>
          <w:r w:rsidR="00F37DF5">
            <w:fldChar w:fldCharType="end"/>
          </w:r>
        </w:p>
        <w:p w:rsidR="00653A3D" w:rsidRDefault="008E6BC5">
          <w:pPr>
            <w:tabs>
              <w:tab w:val="right" w:pos="10065"/>
            </w:tabs>
            <w:spacing w:before="60" w:line="240" w:lineRule="auto"/>
            <w:ind w:left="360"/>
          </w:pPr>
          <w:hyperlink w:anchor="_heading=h.nfrvvjk7m89">
            <w:r w:rsidR="00F37DF5">
              <w:t>Risker med svag föreningsetik</w:t>
            </w:r>
          </w:hyperlink>
          <w:r w:rsidR="00F37DF5">
            <w:tab/>
          </w:r>
          <w:r w:rsidR="00F37DF5">
            <w:fldChar w:fldCharType="begin"/>
          </w:r>
          <w:r w:rsidR="00F37DF5">
            <w:instrText xml:space="preserve"> PAGEREF _heading=h.nfrvvjk7m89 \h </w:instrText>
          </w:r>
          <w:r w:rsidR="00F37DF5">
            <w:fldChar w:fldCharType="separate"/>
          </w:r>
          <w:r w:rsidR="00F37DF5">
            <w:t>2</w:t>
          </w:r>
          <w:r w:rsidR="00F37DF5">
            <w:fldChar w:fldCharType="end"/>
          </w:r>
        </w:p>
        <w:p w:rsidR="00653A3D" w:rsidRDefault="008E6BC5">
          <w:pPr>
            <w:tabs>
              <w:tab w:val="right" w:pos="10065"/>
            </w:tabs>
            <w:spacing w:before="200" w:line="240" w:lineRule="auto"/>
          </w:pPr>
          <w:hyperlink w:anchor="_heading=h.ty7q53x8t2mr">
            <w:r w:rsidR="00F37DF5">
              <w:rPr>
                <w:b/>
              </w:rPr>
              <w:t>Etiska principer</w:t>
            </w:r>
          </w:hyperlink>
          <w:r w:rsidR="00F37DF5">
            <w:rPr>
              <w:b/>
            </w:rPr>
            <w:tab/>
          </w:r>
          <w:r w:rsidR="00F37DF5">
            <w:fldChar w:fldCharType="begin"/>
          </w:r>
          <w:r w:rsidR="00F37DF5">
            <w:instrText xml:space="preserve"> PAGEREF _heading=h.ty7q53x8t2mr \h </w:instrText>
          </w:r>
          <w:r w:rsidR="00F37DF5">
            <w:fldChar w:fldCharType="separate"/>
          </w:r>
          <w:r w:rsidR="00F37DF5">
            <w:rPr>
              <w:b/>
            </w:rPr>
            <w:t>2</w:t>
          </w:r>
          <w:r w:rsidR="00F37DF5">
            <w:fldChar w:fldCharType="end"/>
          </w:r>
        </w:p>
        <w:p w:rsidR="00653A3D" w:rsidRDefault="008E6BC5">
          <w:pPr>
            <w:tabs>
              <w:tab w:val="right" w:pos="10065"/>
            </w:tabs>
            <w:spacing w:before="60" w:line="240" w:lineRule="auto"/>
            <w:ind w:left="360"/>
          </w:pPr>
          <w:hyperlink w:anchor="_heading=h.8hz8kr5zntzn">
            <w:r w:rsidR="00F37DF5">
              <w:t>Rent spel</w:t>
            </w:r>
          </w:hyperlink>
          <w:r w:rsidR="00F37DF5">
            <w:tab/>
          </w:r>
          <w:r w:rsidR="00F37DF5">
            <w:fldChar w:fldCharType="begin"/>
          </w:r>
          <w:r w:rsidR="00F37DF5">
            <w:instrText xml:space="preserve"> PAGEREF _heading=h.8hz8kr5zntzn \h </w:instrText>
          </w:r>
          <w:r w:rsidR="00F37DF5">
            <w:fldChar w:fldCharType="separate"/>
          </w:r>
          <w:r w:rsidR="00F37DF5">
            <w:t>3</w:t>
          </w:r>
          <w:r w:rsidR="00F37DF5">
            <w:fldChar w:fldCharType="end"/>
          </w:r>
        </w:p>
        <w:p w:rsidR="00653A3D" w:rsidRDefault="008E6BC5">
          <w:pPr>
            <w:tabs>
              <w:tab w:val="right" w:pos="10065"/>
            </w:tabs>
            <w:spacing w:before="60" w:line="240" w:lineRule="auto"/>
            <w:ind w:left="360"/>
          </w:pPr>
          <w:hyperlink w:anchor="_heading=h.6nhyuzhpdatt">
            <w:r w:rsidR="00F37DF5">
              <w:t>Trygg miljö</w:t>
            </w:r>
          </w:hyperlink>
          <w:r w:rsidR="00F37DF5">
            <w:tab/>
          </w:r>
          <w:r w:rsidR="00F37DF5">
            <w:fldChar w:fldCharType="begin"/>
          </w:r>
          <w:r w:rsidR="00F37DF5">
            <w:instrText xml:space="preserve"> PAGEREF _heading=h.6nhyuzhpdatt \h </w:instrText>
          </w:r>
          <w:r w:rsidR="00F37DF5">
            <w:fldChar w:fldCharType="separate"/>
          </w:r>
          <w:r w:rsidR="00F37DF5">
            <w:t>3</w:t>
          </w:r>
          <w:r w:rsidR="00F37DF5">
            <w:fldChar w:fldCharType="end"/>
          </w:r>
        </w:p>
        <w:p w:rsidR="00653A3D" w:rsidRDefault="008E6BC5">
          <w:pPr>
            <w:tabs>
              <w:tab w:val="right" w:pos="10065"/>
            </w:tabs>
            <w:spacing w:before="60" w:line="240" w:lineRule="auto"/>
            <w:ind w:left="360"/>
          </w:pPr>
          <w:hyperlink w:anchor="_heading=h.8e8neez82dj2">
            <w:r w:rsidR="00F37DF5">
              <w:t>Principer som arbetsgivare och samhällsaktör</w:t>
            </w:r>
          </w:hyperlink>
          <w:r w:rsidR="00F37DF5">
            <w:tab/>
          </w:r>
          <w:r w:rsidR="00F37DF5">
            <w:fldChar w:fldCharType="begin"/>
          </w:r>
          <w:r w:rsidR="00F37DF5">
            <w:instrText xml:space="preserve"> PAGEREF _heading=h.8e8neez82dj2 \h </w:instrText>
          </w:r>
          <w:r w:rsidR="00F37DF5">
            <w:fldChar w:fldCharType="separate"/>
          </w:r>
          <w:r w:rsidR="00F37DF5">
            <w:t>4</w:t>
          </w:r>
          <w:r w:rsidR="00F37DF5">
            <w:fldChar w:fldCharType="end"/>
          </w:r>
        </w:p>
        <w:p w:rsidR="00653A3D" w:rsidRDefault="008E6BC5">
          <w:pPr>
            <w:tabs>
              <w:tab w:val="right" w:pos="10065"/>
            </w:tabs>
            <w:spacing w:before="200" w:line="240" w:lineRule="auto"/>
          </w:pPr>
          <w:hyperlink w:anchor="_heading=h.1mwum7fdlmq4">
            <w:r w:rsidR="00F37DF5">
              <w:rPr>
                <w:b/>
              </w:rPr>
              <w:t>Finansiella principer</w:t>
            </w:r>
          </w:hyperlink>
          <w:r w:rsidR="00F37DF5">
            <w:rPr>
              <w:b/>
            </w:rPr>
            <w:tab/>
          </w:r>
          <w:r w:rsidR="00F37DF5">
            <w:fldChar w:fldCharType="begin"/>
          </w:r>
          <w:r w:rsidR="00F37DF5">
            <w:instrText xml:space="preserve"> PAGEREF _heading=h.1mwum7fdlmq4 \h </w:instrText>
          </w:r>
          <w:r w:rsidR="00F37DF5">
            <w:fldChar w:fldCharType="separate"/>
          </w:r>
          <w:r w:rsidR="00F37DF5">
            <w:rPr>
              <w:b/>
            </w:rPr>
            <w:t>4</w:t>
          </w:r>
          <w:r w:rsidR="00F37DF5">
            <w:fldChar w:fldCharType="end"/>
          </w:r>
        </w:p>
        <w:p w:rsidR="00653A3D" w:rsidRDefault="008E6BC5">
          <w:pPr>
            <w:tabs>
              <w:tab w:val="right" w:pos="10065"/>
            </w:tabs>
            <w:spacing w:before="60" w:line="240" w:lineRule="auto"/>
            <w:ind w:left="360"/>
          </w:pPr>
          <w:hyperlink w:anchor="_heading=h.g2z1af9ptv2y">
            <w:r w:rsidR="00F37DF5">
              <w:t>Bokföringsprinciper och ekonomisk fördelningsnyckel</w:t>
            </w:r>
          </w:hyperlink>
          <w:r w:rsidR="00F37DF5">
            <w:tab/>
          </w:r>
          <w:r w:rsidR="00F37DF5">
            <w:fldChar w:fldCharType="begin"/>
          </w:r>
          <w:r w:rsidR="00F37DF5">
            <w:instrText xml:space="preserve"> PAGEREF _heading=h.g2z1af9ptv2y \h </w:instrText>
          </w:r>
          <w:r w:rsidR="00F37DF5">
            <w:fldChar w:fldCharType="separate"/>
          </w:r>
          <w:r w:rsidR="00F37DF5">
            <w:t>4</w:t>
          </w:r>
          <w:r w:rsidR="00F37DF5">
            <w:fldChar w:fldCharType="end"/>
          </w:r>
        </w:p>
        <w:p w:rsidR="00653A3D" w:rsidRDefault="008E6BC5">
          <w:pPr>
            <w:tabs>
              <w:tab w:val="right" w:pos="10065"/>
            </w:tabs>
            <w:spacing w:before="60" w:line="240" w:lineRule="auto"/>
            <w:ind w:left="360"/>
          </w:pPr>
          <w:hyperlink w:anchor="_heading=h.wxyuifvdhwee">
            <w:r w:rsidR="00F37DF5">
              <w:t>Kontrollprocessen</w:t>
            </w:r>
          </w:hyperlink>
          <w:r w:rsidR="00F37DF5">
            <w:tab/>
          </w:r>
          <w:r w:rsidR="00F37DF5">
            <w:fldChar w:fldCharType="begin"/>
          </w:r>
          <w:r w:rsidR="00F37DF5">
            <w:instrText xml:space="preserve"> PAGEREF _heading=h.wxyuifvdhwee \h </w:instrText>
          </w:r>
          <w:r w:rsidR="00F37DF5">
            <w:fldChar w:fldCharType="separate"/>
          </w:r>
          <w:r w:rsidR="00F37DF5">
            <w:t>5</w:t>
          </w:r>
          <w:r w:rsidR="00F37DF5">
            <w:fldChar w:fldCharType="end"/>
          </w:r>
        </w:p>
        <w:p w:rsidR="00653A3D" w:rsidRDefault="008E6BC5">
          <w:pPr>
            <w:tabs>
              <w:tab w:val="right" w:pos="10065"/>
            </w:tabs>
            <w:spacing w:before="60" w:line="240" w:lineRule="auto"/>
            <w:ind w:left="720"/>
          </w:pPr>
          <w:hyperlink w:anchor="_heading=h.kf3lv6gcc9lm">
            <w:r w:rsidR="00F37DF5">
              <w:t>Attestpolicy och fakturahantering</w:t>
            </w:r>
          </w:hyperlink>
          <w:r w:rsidR="00F37DF5">
            <w:tab/>
          </w:r>
          <w:r w:rsidR="00F37DF5">
            <w:fldChar w:fldCharType="begin"/>
          </w:r>
          <w:r w:rsidR="00F37DF5">
            <w:instrText xml:space="preserve"> PAGEREF _heading=h.kf3lv6gcc9lm \h </w:instrText>
          </w:r>
          <w:r w:rsidR="00F37DF5">
            <w:fldChar w:fldCharType="separate"/>
          </w:r>
          <w:r w:rsidR="00F37DF5">
            <w:t>5</w:t>
          </w:r>
          <w:r w:rsidR="00F37DF5">
            <w:fldChar w:fldCharType="end"/>
          </w:r>
        </w:p>
        <w:p w:rsidR="00653A3D" w:rsidRDefault="008E6BC5">
          <w:pPr>
            <w:tabs>
              <w:tab w:val="right" w:pos="10065"/>
            </w:tabs>
            <w:spacing w:before="60" w:line="240" w:lineRule="auto"/>
            <w:ind w:left="720"/>
          </w:pPr>
          <w:hyperlink w:anchor="_heading=h.2ryd1i2wnc4i">
            <w:r w:rsidR="00F37DF5">
              <w:t>Budgetprocess</w:t>
            </w:r>
          </w:hyperlink>
          <w:r w:rsidR="00F37DF5">
            <w:tab/>
          </w:r>
          <w:r w:rsidR="00F37DF5">
            <w:fldChar w:fldCharType="begin"/>
          </w:r>
          <w:r w:rsidR="00F37DF5">
            <w:instrText xml:space="preserve"> PAGEREF _heading=h.2ryd1i2wnc4i \h </w:instrText>
          </w:r>
          <w:r w:rsidR="00F37DF5">
            <w:fldChar w:fldCharType="separate"/>
          </w:r>
          <w:r w:rsidR="00F37DF5">
            <w:t>6</w:t>
          </w:r>
          <w:r w:rsidR="00F37DF5">
            <w:fldChar w:fldCharType="end"/>
          </w:r>
        </w:p>
        <w:p w:rsidR="00653A3D" w:rsidRDefault="008E6BC5">
          <w:pPr>
            <w:tabs>
              <w:tab w:val="right" w:pos="10065"/>
            </w:tabs>
            <w:spacing w:before="60" w:after="80" w:line="240" w:lineRule="auto"/>
            <w:ind w:left="720"/>
          </w:pPr>
          <w:hyperlink w:anchor="_heading=h.vbz9skhry0t0">
            <w:r w:rsidR="00F37DF5">
              <w:t>Årsbokslutsprocess</w:t>
            </w:r>
          </w:hyperlink>
          <w:r w:rsidR="00F37DF5">
            <w:tab/>
          </w:r>
          <w:r w:rsidR="00F37DF5">
            <w:fldChar w:fldCharType="begin"/>
          </w:r>
          <w:r w:rsidR="00F37DF5">
            <w:instrText xml:space="preserve"> PAGEREF _heading=h.vbz9skhry0t0 \h </w:instrText>
          </w:r>
          <w:r w:rsidR="00F37DF5">
            <w:fldChar w:fldCharType="separate"/>
          </w:r>
          <w:r w:rsidR="00F37DF5">
            <w:t>6</w:t>
          </w:r>
          <w:r w:rsidR="00F37DF5">
            <w:fldChar w:fldCharType="end"/>
          </w:r>
          <w:r w:rsidR="00F37DF5">
            <w:fldChar w:fldCharType="end"/>
          </w:r>
        </w:p>
      </w:sdtContent>
    </w:sdt>
    <w:p w:rsidR="00653A3D" w:rsidRDefault="00653A3D">
      <w:pPr>
        <w:pStyle w:val="Rubrik1"/>
        <w:spacing w:before="240" w:after="240"/>
      </w:pPr>
      <w:bookmarkStart w:id="3" w:name="_heading=h.6eulcsc4u9i2" w:colFirst="0" w:colLast="0"/>
      <w:bookmarkEnd w:id="3"/>
    </w:p>
    <w:p w:rsidR="00653A3D" w:rsidRDefault="00653A3D"/>
    <w:p w:rsidR="00653A3D" w:rsidRDefault="00653A3D"/>
    <w:p w:rsidR="00653A3D" w:rsidRDefault="00653A3D"/>
    <w:p w:rsidR="00653A3D" w:rsidRDefault="00F37DF5">
      <w:pPr>
        <w:pStyle w:val="Rubrik1"/>
        <w:spacing w:before="240" w:after="240"/>
      </w:pPr>
      <w:bookmarkStart w:id="4" w:name="_heading=h.gczdajdmcb6v" w:colFirst="0" w:colLast="0"/>
      <w:bookmarkEnd w:id="4"/>
      <w:r>
        <w:lastRenderedPageBreak/>
        <w:t>Riskanalys</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 xml:space="preserve">Hanvikens SK är en välfungerande förening med nästan 2500 medlemmar. Livsnerven är aktiva sektioner som driver föreningens verksamhet. Omsättningen i resultaträkningen var 2019 runt 12 MSEK och balansomslutningen är över 4 MSEK. En så pass stor och levande förening med många medlemmar och personal, samt verksamhet på flera platser i Tyresö kommun innebär att föreningen utsätts för risker som kan delas in i flera olika kategorier. Det kan handla om finansiella risker kopplade till föreningens storlek. Det kan handla om fysiska risker, kopplat till verksamhetens form och plats. Det kan handla risker baserat på föreningens rykte och vandel. Det kan naturligtvis handla om risk att utsättas för brottslighet. </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De två största riskerna torde dock vara finansiella risker och risker kopplat till att minderåriga medlemmarnas trygghet.</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Då den ekonomiska verksamheten är så pass omfattande, så ställer det krav på välfungerande processer och kontrollsystem. För att skapa en så effektiv budget- och kontrollprocess som möjligt är ambitionen att alla sektioner arbetar på samma sätt i dessa processer, givet att det inte finns uppenbara fördelar för en sektion att göra annorlunda.</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 xml:space="preserve">Även om föreningen är en utpräglad sektionsförening, så är det viktigt att grundläggande etiska principer genomsyrar föreningens verksamhet. Detta för att säkra medlemmars säkerhet, ofta omnämnt “Trygg idrott”. Etiska principer är också viktiga för att värna föreningens goda rykte.  </w:t>
      </w:r>
    </w:p>
    <w:p w:rsidR="00653A3D" w:rsidRDefault="00653A3D">
      <w:pPr>
        <w:pStyle w:val="Rubrik2"/>
      </w:pPr>
      <w:bookmarkStart w:id="5" w:name="_heading=h.q557ugjaehtu" w:colFirst="0" w:colLast="0"/>
      <w:bookmarkEnd w:id="5"/>
    </w:p>
    <w:p w:rsidR="00653A3D" w:rsidRDefault="00F37DF5">
      <w:pPr>
        <w:pStyle w:val="Rubrik2"/>
      </w:pPr>
      <w:bookmarkStart w:id="6" w:name="_heading=h.he91tke7w9i2" w:colFirst="0" w:colLast="0"/>
      <w:bookmarkEnd w:id="6"/>
      <w:r>
        <w:t>Ekonomiska risker</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 xml:space="preserve">Den ekonomiska verksamheten i Hanvikens SK är omfattande, vilket skapar olika ekonomiska risker. Det handlar dels om finansiella risker kopplat till föreningens storlek och dess finansiella ställning. Det handlar dels om risker kopplat till hur vi hanterar ekonomiska rutiner och risk för ekonomiska oegentligheter. </w:t>
      </w:r>
    </w:p>
    <w:p w:rsidR="00653A3D" w:rsidRDefault="00F37DF5">
      <w:pPr>
        <w:rPr>
          <w:rFonts w:ascii="Calibri" w:eastAsia="Calibri" w:hAnsi="Calibri" w:cs="Calibri"/>
          <w:sz w:val="24"/>
          <w:szCs w:val="24"/>
        </w:rPr>
      </w:pPr>
      <w:r>
        <w:rPr>
          <w:rFonts w:ascii="Calibri" w:eastAsia="Calibri" w:hAnsi="Calibri" w:cs="Calibri"/>
          <w:sz w:val="24"/>
          <w:szCs w:val="24"/>
        </w:rPr>
        <w:t xml:space="preserve">För att hantera dessa ekonomiska risker behövs en välfungerande kontrollprocess och tydlig attestpolicy. Attester av kvitton och fakturor ska ske enligt en i förhand beslutad ordning, beskriven i detta dokument. Kontroll av kvitton och fakturor bör göras av en i förväg beslutad person med erforderlig befogenhet, även det definierat nedan. </w:t>
      </w:r>
    </w:p>
    <w:p w:rsidR="00653A3D" w:rsidRDefault="00653A3D"/>
    <w:p w:rsidR="00653A3D" w:rsidRDefault="00F37DF5">
      <w:pPr>
        <w:pStyle w:val="Rubrik2"/>
        <w:spacing w:before="240" w:after="240"/>
      </w:pPr>
      <w:bookmarkStart w:id="7" w:name="_heading=h.nfrvvjk7m89" w:colFirst="0" w:colLast="0"/>
      <w:bookmarkEnd w:id="7"/>
      <w:r>
        <w:lastRenderedPageBreak/>
        <w:t>Risker med svag föreningsetik</w:t>
      </w:r>
    </w:p>
    <w:p w:rsidR="00653A3D" w:rsidRDefault="00F37DF5">
      <w:r>
        <w:t xml:space="preserve">I en förgänglig värld är en god moral och stark föreningsetik viktig, om vi i framtiden ska ha medlemmar. Därför är etiska principer viktiga. För många föräldrar är det viktigt att deras barn är trygga och att de lär sig goda värderingar. Ska Hanvikens SK vara en framgångsrik förening måste höga standarder på dessa områden prägla vår verksamhet. Hur dessa regelverk ser ut i detalj beslutar varje sektion i erforderlig ordning, men alla sektioners regelverk ska vila på samma grund av värderingar. </w:t>
      </w:r>
    </w:p>
    <w:p w:rsidR="00653A3D" w:rsidRDefault="00653A3D"/>
    <w:p w:rsidR="00653A3D" w:rsidRDefault="00F37DF5">
      <w:pPr>
        <w:pStyle w:val="Rubrik1"/>
        <w:spacing w:before="240" w:after="240"/>
      </w:pPr>
      <w:bookmarkStart w:id="8" w:name="_heading=h.osevhrpg2f7c" w:colFirst="0" w:colLast="0"/>
      <w:bookmarkEnd w:id="8"/>
      <w:r>
        <w:t>Etiska principer</w:t>
      </w:r>
    </w:p>
    <w:p w:rsidR="00653A3D" w:rsidRDefault="00F37DF5">
      <w:r>
        <w:t xml:space="preserve">Allting i vår verksamhet utgår från värdegrunden och ska leda till en sund miljö och en positiv föreningskultur. Detta är tydligt uttalat och ligger i linje med Röda Tråden, som ska styra vår verksamhet. </w:t>
      </w:r>
    </w:p>
    <w:p w:rsidR="00653A3D" w:rsidRDefault="00653A3D"/>
    <w:p w:rsidR="00653A3D" w:rsidRDefault="00F37DF5">
      <w:r>
        <w:t xml:space="preserve">Ledorden för föreningen är glädje, gemenskap och utveckling. Ska de ledord betyda något måste grundläggande etiska principer följas och alla kunna känna sig trygga när de deltar i föreningens verksamhet. All vår verksamhet ska präglas av glädje. Glädje bidrar till att skapa kamratskap, motivation och framtidstro. Gemenskap handlar om att </w:t>
      </w:r>
      <w:proofErr w:type="gramStart"/>
      <w:r>
        <w:t>en gemensam förhållningssätt</w:t>
      </w:r>
      <w:proofErr w:type="gramEnd"/>
      <w:r>
        <w:t xml:space="preserve"> som skapar gemenskap i föreningen. Dessutom strävar vi efter att skapa samhörighet mellan föreningens spelare, ledare och lag. Det är individens utveckling som står i fokus för verksamheten och alla har möjlighet att utvecklas i den riktning och takt som passar varje individ.</w:t>
      </w:r>
    </w:p>
    <w:p w:rsidR="00653A3D" w:rsidRDefault="00653A3D"/>
    <w:p w:rsidR="00653A3D" w:rsidRDefault="00F37DF5">
      <w:pPr>
        <w:pStyle w:val="Rubrik2"/>
      </w:pPr>
      <w:bookmarkStart w:id="9" w:name="_heading=h.6nhyuzhpdatt" w:colFirst="0" w:colLast="0"/>
      <w:bookmarkEnd w:id="9"/>
      <w:r>
        <w:t>Trygg idrott</w:t>
      </w:r>
    </w:p>
    <w:p w:rsidR="00653A3D" w:rsidRDefault="00F37DF5">
      <w:pPr>
        <w:rPr>
          <w:rFonts w:ascii="Calibri" w:eastAsia="Calibri" w:hAnsi="Calibri" w:cs="Calibri"/>
          <w:sz w:val="24"/>
          <w:szCs w:val="24"/>
          <w:highlight w:val="white"/>
        </w:rPr>
      </w:pPr>
      <w:r>
        <w:rPr>
          <w:rFonts w:ascii="Calibri" w:eastAsia="Calibri" w:hAnsi="Calibri" w:cs="Calibri"/>
          <w:sz w:val="24"/>
          <w:szCs w:val="24"/>
          <w:highlight w:val="white"/>
        </w:rPr>
        <w:t xml:space="preserve">En trygg idrott är i grunden en förening som använder sig av barnrättsperspektivet, det vill säga att alla beslut fattas med barnens bästa för ögonen. En trygg idrott är en idrott fri från mobbning, trakasserier, hot, våld och övergrepp. En idrott där alla känner sig välkomna och delaktiga och får delta och utvecklas efter sina egna förutsättningar. Hanvikens SK har en värdegrund som är baserad på idrottsrörelsens dito. </w:t>
      </w:r>
    </w:p>
    <w:p w:rsidR="00653A3D" w:rsidRDefault="00653A3D">
      <w:pPr>
        <w:rPr>
          <w:rFonts w:ascii="Calibri" w:eastAsia="Calibri" w:hAnsi="Calibri" w:cs="Calibri"/>
          <w:sz w:val="24"/>
          <w:szCs w:val="24"/>
          <w:highlight w:val="white"/>
        </w:rPr>
      </w:pPr>
    </w:p>
    <w:p w:rsidR="00653A3D" w:rsidRDefault="00F37DF5">
      <w:pPr>
        <w:rPr>
          <w:rFonts w:ascii="Calibri" w:eastAsia="Calibri" w:hAnsi="Calibri" w:cs="Calibri"/>
          <w:sz w:val="24"/>
          <w:szCs w:val="24"/>
          <w:highlight w:val="white"/>
        </w:rPr>
      </w:pPr>
      <w:r>
        <w:rPr>
          <w:rFonts w:ascii="Calibri" w:eastAsia="Calibri" w:hAnsi="Calibri" w:cs="Calibri"/>
          <w:sz w:val="24"/>
          <w:szCs w:val="24"/>
          <w:highlight w:val="white"/>
        </w:rPr>
        <w:t xml:space="preserve">I grunden är varje sportchef och sektionsstyrelse ansvarig för att vår värdegrund efterlevs. Ytterst är huvudstyrelsen och föreningens ordförande ansvarig för att värdegrunden efterlevs i hela föreningen. Det är därför naturligt att i första hand vända sig till sin sektionsstyrelse om något inte fungerar och i andra hand till huvudstyrelsen och ytterst föreningens ordförande, om det finns skäl att inte vända sig till sektionsstyrelsen. </w:t>
      </w:r>
    </w:p>
    <w:p w:rsidR="00653A3D" w:rsidRDefault="00653A3D">
      <w:pPr>
        <w:rPr>
          <w:rFonts w:ascii="Calibri" w:eastAsia="Calibri" w:hAnsi="Calibri" w:cs="Calibri"/>
          <w:sz w:val="24"/>
          <w:szCs w:val="24"/>
          <w:highlight w:val="white"/>
        </w:rPr>
      </w:pPr>
    </w:p>
    <w:p w:rsidR="00653A3D" w:rsidRDefault="00F37DF5">
      <w:pPr>
        <w:rPr>
          <w:rFonts w:ascii="Calibri" w:eastAsia="Calibri" w:hAnsi="Calibri" w:cs="Calibri"/>
          <w:sz w:val="24"/>
          <w:szCs w:val="24"/>
          <w:highlight w:val="white"/>
        </w:rPr>
      </w:pPr>
      <w:r>
        <w:rPr>
          <w:rFonts w:ascii="Calibri" w:eastAsia="Calibri" w:hAnsi="Calibri" w:cs="Calibri"/>
          <w:sz w:val="24"/>
          <w:szCs w:val="24"/>
          <w:highlight w:val="white"/>
        </w:rPr>
        <w:lastRenderedPageBreak/>
        <w:t xml:space="preserve">Om det finns hinder att vända sig till föreningens styrelse, såsom personkopplingar eller att oron är kopplad till styrelsen, kan du höra av dig till ditt specialidrottsförbund (SF), det </w:t>
      </w:r>
      <w:proofErr w:type="spellStart"/>
      <w:r>
        <w:rPr>
          <w:rFonts w:ascii="Calibri" w:eastAsia="Calibri" w:hAnsi="Calibri" w:cs="Calibri"/>
          <w:sz w:val="24"/>
          <w:szCs w:val="24"/>
          <w:highlight w:val="white"/>
        </w:rPr>
        <w:t>vills</w:t>
      </w:r>
      <w:proofErr w:type="spellEnd"/>
      <w:r>
        <w:rPr>
          <w:rFonts w:ascii="Calibri" w:eastAsia="Calibri" w:hAnsi="Calibri" w:cs="Calibri"/>
          <w:sz w:val="24"/>
          <w:szCs w:val="24"/>
          <w:highlight w:val="white"/>
        </w:rPr>
        <w:t xml:space="preserve"> säga svenska friidrotts-, fotbolls- eller ishockeyförbundet. Det är även möjligt att vända sig till RF/SISU Stockholm. Ytterst ska alla veta att det är möjligt att kontakta RF:s idrottsombudsman, på </w:t>
      </w:r>
      <w:hyperlink r:id="rId7">
        <w:r>
          <w:rPr>
            <w:rFonts w:ascii="Calibri" w:eastAsia="Calibri" w:hAnsi="Calibri" w:cs="Calibri"/>
            <w:color w:val="1155CC"/>
            <w:sz w:val="24"/>
            <w:szCs w:val="24"/>
            <w:highlight w:val="white"/>
            <w:u w:val="single"/>
          </w:rPr>
          <w:t>idrottsombudsmannen@rf.se</w:t>
        </w:r>
      </w:hyperlink>
      <w:r>
        <w:rPr>
          <w:rFonts w:ascii="Calibri" w:eastAsia="Calibri" w:hAnsi="Calibri" w:cs="Calibri"/>
          <w:sz w:val="24"/>
          <w:szCs w:val="24"/>
          <w:highlight w:val="white"/>
        </w:rPr>
        <w:t xml:space="preserve">. Information finns tillgänglig på RF:s hemsida hur en kan kommunicera anonymt med idrottsombudsmannen. Alla våra medlemmar ska informeras om dessa möjligheter. </w:t>
      </w:r>
    </w:p>
    <w:p w:rsidR="00653A3D" w:rsidRDefault="00653A3D">
      <w:pPr>
        <w:rPr>
          <w:rFonts w:ascii="Calibri" w:eastAsia="Calibri" w:hAnsi="Calibri" w:cs="Calibri"/>
          <w:sz w:val="24"/>
          <w:szCs w:val="24"/>
          <w:highlight w:val="white"/>
        </w:rPr>
      </w:pPr>
    </w:p>
    <w:p w:rsidR="00653A3D" w:rsidRDefault="00F37DF5">
      <w:pPr>
        <w:pStyle w:val="Rubrik3"/>
      </w:pPr>
      <w:bookmarkStart w:id="10" w:name="_heading=h.ui0o69gmswmc" w:colFirst="0" w:colLast="0"/>
      <w:bookmarkEnd w:id="10"/>
      <w:r>
        <w:t>Sociala medier</w:t>
      </w:r>
    </w:p>
    <w:p w:rsidR="00653A3D" w:rsidRDefault="00F37DF5">
      <w:r>
        <w:t xml:space="preserve">Sociala medier är i grunden något positivt som är en viktig del, både av våra medlemmars liv och av vår externa och interna kommunikation. Samtidigt ska kommunikationen från Hanvikens SK gå i linje med föreningens värdegrund. All kommunikation och kommentarer till densamma ska ske med respekt för varandra, vara sakliga och inte bryta mot lagar och regler. Vi tillåter inte ryktesspridning eller nedvärderande kommentarer kopplat till kön, hudfärg eller sexualitet. Det är inte heller tillåtet att göra reklam, med undantag för föreningens sponsorer. </w:t>
      </w:r>
    </w:p>
    <w:p w:rsidR="00653A3D" w:rsidRDefault="00653A3D"/>
    <w:p w:rsidR="00653A3D" w:rsidRDefault="00F37DF5">
      <w:pPr>
        <w:shd w:val="clear" w:color="auto" w:fill="FFFFFF"/>
        <w:spacing w:after="240"/>
        <w:rPr>
          <w:sz w:val="24"/>
          <w:szCs w:val="24"/>
        </w:rPr>
      </w:pPr>
      <w:r>
        <w:rPr>
          <w:sz w:val="24"/>
          <w:szCs w:val="24"/>
        </w:rPr>
        <w:t xml:space="preserve">När det gäller publicering av material på föreningens hemsida och sociala medier sker det som utgångspunkt med stöd av en intresseavvägning. Alltså krävs det att föreningens intresse av att publicera bilder för att exempelvis visa upp föreningens verksamhet väger tyngre än det </w:t>
      </w:r>
      <w:proofErr w:type="gramStart"/>
      <w:r>
        <w:rPr>
          <w:sz w:val="24"/>
          <w:szCs w:val="24"/>
        </w:rPr>
        <w:t>intresse personerna</w:t>
      </w:r>
      <w:proofErr w:type="gramEnd"/>
      <w:r>
        <w:rPr>
          <w:sz w:val="24"/>
          <w:szCs w:val="24"/>
        </w:rPr>
        <w:t xml:space="preserve"> på bilderna har av skydd för sina personuppgifter. Om bilder från arrangemang publiceras måste samtliga besökare informeras om att bilderna, kan komma att användas av föreningen för att informera om verksamheten på webbplats och/eller sociala medier. Inget material som upplevs kränkande av den som berörs av behandlingen får publiceras, varken på hemsidan eller i sociala medier. Frågor eller invändningar på publiceringar hänvisas till kansliet, </w:t>
      </w:r>
      <w:hyperlink r:id="rId8">
        <w:r>
          <w:rPr>
            <w:color w:val="1155CC"/>
            <w:sz w:val="24"/>
            <w:szCs w:val="24"/>
            <w:u w:val="single"/>
          </w:rPr>
          <w:t>kansli@hanvikenssk.se</w:t>
        </w:r>
      </w:hyperlink>
      <w:r>
        <w:rPr>
          <w:sz w:val="24"/>
          <w:szCs w:val="24"/>
        </w:rPr>
        <w:t xml:space="preserve">. </w:t>
      </w:r>
    </w:p>
    <w:p w:rsidR="00653A3D" w:rsidRDefault="00F37DF5">
      <w:pPr>
        <w:shd w:val="clear" w:color="auto" w:fill="FFFFFF"/>
        <w:spacing w:after="240"/>
        <w:rPr>
          <w:sz w:val="24"/>
          <w:szCs w:val="24"/>
        </w:rPr>
      </w:pPr>
      <w:r>
        <w:rPr>
          <w:sz w:val="24"/>
          <w:szCs w:val="24"/>
        </w:rPr>
        <w:t>Om föreningen tillkännages att något material upplevs som kränkande för individen som berörs av behandlingen, ska detta material omedelbart avpubliceras. När det gäller publicering av information eller bilder på barn, så ska samtycke inhämt</w:t>
      </w:r>
      <w:bookmarkStart w:id="11" w:name="_GoBack"/>
      <w:bookmarkEnd w:id="11"/>
      <w:r>
        <w:rPr>
          <w:sz w:val="24"/>
          <w:szCs w:val="24"/>
        </w:rPr>
        <w:t xml:space="preserve">as från vårdnadshavare. </w:t>
      </w:r>
    </w:p>
    <w:p w:rsidR="00653A3D" w:rsidRDefault="00F37DF5">
      <w:pPr>
        <w:shd w:val="clear" w:color="auto" w:fill="FFFFFF"/>
        <w:spacing w:after="240"/>
        <w:rPr>
          <w:sz w:val="24"/>
          <w:szCs w:val="24"/>
        </w:rPr>
      </w:pPr>
      <w:r>
        <w:rPr>
          <w:sz w:val="24"/>
          <w:szCs w:val="24"/>
        </w:rPr>
        <w:t xml:space="preserve">Reglerna ovan gäller för hela föreningen, dess sektioner och på alla </w:t>
      </w:r>
      <w:proofErr w:type="spellStart"/>
      <w:r>
        <w:rPr>
          <w:sz w:val="24"/>
          <w:szCs w:val="24"/>
        </w:rPr>
        <w:t>lagsidor</w:t>
      </w:r>
      <w:proofErr w:type="spellEnd"/>
      <w:r>
        <w:rPr>
          <w:sz w:val="24"/>
          <w:szCs w:val="24"/>
        </w:rPr>
        <w:t xml:space="preserve">. </w:t>
      </w:r>
    </w:p>
    <w:p w:rsidR="00653A3D" w:rsidRDefault="00F37DF5">
      <w:pPr>
        <w:shd w:val="clear" w:color="auto" w:fill="FFFFFF"/>
        <w:spacing w:after="240"/>
      </w:pPr>
      <w:r>
        <w:rPr>
          <w:sz w:val="24"/>
          <w:szCs w:val="24"/>
        </w:rPr>
        <w:t xml:space="preserve">Under senare år har antalet lag som har konton på sociala medier ökat. Där kan publiceras resultat, men också bilder och bildklipp från tävlingar och matcher. Dessa sidor kan ses som roliga och informativa, men kan också leda till ökade press och stress. Dessa lagkonton måste hanteras i enlighet med de regler som finns inom Hanvikens SK, samt i linje med föreningens värdegrund. Dessa konton får aldrig bidra till tidig utslagning, selektering eller dylikt. Dessa </w:t>
      </w:r>
      <w:proofErr w:type="gramStart"/>
      <w:r>
        <w:rPr>
          <w:sz w:val="24"/>
          <w:szCs w:val="24"/>
        </w:rPr>
        <w:t>konton  måste</w:t>
      </w:r>
      <w:proofErr w:type="gramEnd"/>
      <w:r>
        <w:rPr>
          <w:sz w:val="24"/>
          <w:szCs w:val="24"/>
        </w:rPr>
        <w:t xml:space="preserve"> också hantera kommentarer löpande, så att även dessa är i linje med denna och andra policys. </w:t>
      </w:r>
    </w:p>
    <w:p w:rsidR="00653A3D" w:rsidRDefault="00F37DF5">
      <w:pPr>
        <w:pStyle w:val="Rubrik2"/>
      </w:pPr>
      <w:bookmarkStart w:id="12" w:name="_heading=h.8hz8kr5zntzn" w:colFirst="0" w:colLast="0"/>
      <w:bookmarkEnd w:id="12"/>
      <w:r>
        <w:lastRenderedPageBreak/>
        <w:t>Rent spel</w:t>
      </w:r>
    </w:p>
    <w:p w:rsidR="00653A3D" w:rsidRDefault="00F37DF5">
      <w:r>
        <w:t>Principen om rent spel är mycket större än fair play under tävling och träning. Rent spel handlar om att aldrig tillåta mutor, korruption och matchfixning. Rent spel handlar om att motverka jäv i alla dess former.</w:t>
      </w:r>
    </w:p>
    <w:p w:rsidR="00653A3D" w:rsidRDefault="00653A3D"/>
    <w:p w:rsidR="00653A3D" w:rsidRDefault="00F37DF5">
      <w:r>
        <w:t xml:space="preserve">Det innebär i praktiken att alla som verkar inom Hanvikens SK har ansvar för, att motverka all form av korruption. Genom att bidra till att skapa ett transparent klimat inom vår förening där det är tydligt att korruption inte accepteras, och där tecken på korruption tidigt lyfts upp till ytan, så minskar vi också risken för att korruption uppstår. </w:t>
      </w:r>
    </w:p>
    <w:p w:rsidR="00653A3D" w:rsidRDefault="00653A3D"/>
    <w:p w:rsidR="00653A3D" w:rsidRDefault="00F37DF5">
      <w:pPr>
        <w:rPr>
          <w:rFonts w:ascii="Calibri" w:eastAsia="Calibri" w:hAnsi="Calibri" w:cs="Calibri"/>
          <w:sz w:val="24"/>
          <w:szCs w:val="24"/>
        </w:rPr>
      </w:pPr>
      <w:r>
        <w:rPr>
          <w:rFonts w:ascii="Calibri" w:eastAsia="Calibri" w:hAnsi="Calibri" w:cs="Calibri"/>
          <w:sz w:val="24"/>
          <w:szCs w:val="24"/>
        </w:rPr>
        <w:t xml:space="preserve">I linje med principerna ovan ska alla anställda och förtroendevalda uppge intressekonflikter för både berörd sektion, men också till huvudstyrelsen för information. Det innebär att anställda ska uppge betalda och obetalda sidouppdrag och förtroendevalda är skyldiga att uppge ekonomiska eller andra intressen som kan komma i konflikt med föreningens. Dokumentation att så är gjort handhas av kansliet.  </w:t>
      </w:r>
    </w:p>
    <w:p w:rsidR="00653A3D" w:rsidRDefault="00653A3D">
      <w:pPr>
        <w:rPr>
          <w:rFonts w:ascii="Calibri" w:eastAsia="Calibri" w:hAnsi="Calibri" w:cs="Calibri"/>
          <w:sz w:val="24"/>
          <w:szCs w:val="24"/>
        </w:rPr>
      </w:pPr>
    </w:p>
    <w:p w:rsidR="00653A3D" w:rsidRDefault="00F37DF5">
      <w:pPr>
        <w:rPr>
          <w:rFonts w:ascii="Calibri" w:eastAsia="Calibri" w:hAnsi="Calibri" w:cs="Calibri"/>
          <w:sz w:val="24"/>
          <w:szCs w:val="24"/>
        </w:rPr>
      </w:pPr>
      <w:r>
        <w:rPr>
          <w:rFonts w:ascii="Calibri" w:eastAsia="Calibri" w:hAnsi="Calibri" w:cs="Calibri"/>
          <w:sz w:val="24"/>
          <w:szCs w:val="24"/>
        </w:rPr>
        <w:t xml:space="preserve">I enlighet med dessa principer tar anställda eller förtroendevalda inte emot gåvor till ett belopp över 500 SEK i egenskap av representant för Hanvikens SK. </w:t>
      </w:r>
    </w:p>
    <w:p w:rsidR="00653A3D" w:rsidRDefault="00653A3D"/>
    <w:p w:rsidR="00653A3D" w:rsidRDefault="00F37DF5">
      <w:pPr>
        <w:pStyle w:val="Rubrik2"/>
        <w:spacing w:before="240" w:after="240"/>
      </w:pPr>
      <w:bookmarkStart w:id="13" w:name="_heading=h.8e8neez82dj2" w:colFirst="0" w:colLast="0"/>
      <w:bookmarkEnd w:id="13"/>
      <w:r>
        <w:t xml:space="preserve">Principer som arbetsgivare och samhällsaktör </w:t>
      </w:r>
    </w:p>
    <w:p w:rsidR="00653A3D" w:rsidRDefault="00F37DF5">
      <w:pPr>
        <w:rPr>
          <w:rFonts w:ascii="Calibri" w:eastAsia="Calibri" w:hAnsi="Calibri" w:cs="Calibri"/>
          <w:sz w:val="24"/>
          <w:szCs w:val="24"/>
        </w:rPr>
      </w:pPr>
      <w:r>
        <w:rPr>
          <w:rFonts w:ascii="Calibri" w:eastAsia="Calibri" w:hAnsi="Calibri" w:cs="Calibri"/>
          <w:sz w:val="24"/>
          <w:szCs w:val="24"/>
        </w:rPr>
        <w:t xml:space="preserve">De principer som styr Hanvikens SK:s agerande som arbetsgivare och samhällsaktör är inte enbart av finansiell karaktär. Grundprincipen för föreningens sätt att vara arbetsgivare är att vara en god sådan och följa de lagar och regler som finns. Föreningens sätt att agera som arbetsgivare i kommer i detalj regleras och beskrivas i den arbetsgivarpolicy som föreningen kommer ta fram under våren 2020. </w:t>
      </w:r>
    </w:p>
    <w:p w:rsidR="00653A3D" w:rsidRDefault="00653A3D">
      <w:pPr>
        <w:rPr>
          <w:rFonts w:ascii="Calibri" w:eastAsia="Calibri" w:hAnsi="Calibri" w:cs="Calibri"/>
          <w:sz w:val="24"/>
          <w:szCs w:val="24"/>
        </w:rPr>
      </w:pPr>
    </w:p>
    <w:p w:rsidR="00653A3D" w:rsidRDefault="00F37DF5">
      <w:pPr>
        <w:rPr>
          <w:rFonts w:ascii="Calibri" w:eastAsia="Calibri" w:hAnsi="Calibri" w:cs="Calibri"/>
          <w:sz w:val="24"/>
          <w:szCs w:val="24"/>
        </w:rPr>
      </w:pPr>
      <w:r>
        <w:rPr>
          <w:rFonts w:ascii="Calibri" w:eastAsia="Calibri" w:hAnsi="Calibri" w:cs="Calibri"/>
          <w:sz w:val="24"/>
          <w:szCs w:val="24"/>
        </w:rPr>
        <w:t xml:space="preserve">Det finns dock ett antal principer som är nära förbundna med föreningens värderingar och därför är oomkullrunkeliga. I Hanvikens SK betalar vi aldrig, under några omständigheter, ut svarta löner. Alla förtroendevalda har ett personligt ansvar att den principen följs. Ytterst ansvarig för respektive sektion är sektionsordförande för att tillse att så är fallet. Vid minsta misstanke om svarta löneutbetalningar, åligger det sektionsordförande eller styrelseledamot att omgående meddela föreningens ordförande. </w:t>
      </w:r>
    </w:p>
    <w:p w:rsidR="00653A3D" w:rsidRDefault="00653A3D">
      <w:pPr>
        <w:rPr>
          <w:rFonts w:ascii="Calibri" w:eastAsia="Calibri" w:hAnsi="Calibri" w:cs="Calibri"/>
          <w:sz w:val="24"/>
          <w:szCs w:val="24"/>
        </w:rPr>
      </w:pPr>
    </w:p>
    <w:p w:rsidR="00653A3D" w:rsidRDefault="00F37DF5">
      <w:pPr>
        <w:rPr>
          <w:rFonts w:ascii="Calibri" w:eastAsia="Calibri" w:hAnsi="Calibri" w:cs="Calibri"/>
          <w:sz w:val="24"/>
          <w:szCs w:val="24"/>
        </w:rPr>
      </w:pPr>
      <w:r>
        <w:rPr>
          <w:rFonts w:ascii="Calibri" w:eastAsia="Calibri" w:hAnsi="Calibri" w:cs="Calibri"/>
          <w:sz w:val="24"/>
          <w:szCs w:val="24"/>
        </w:rPr>
        <w:t xml:space="preserve">I linje med principerna för rent spel, där vi alltid motarbetar mutor och korruption, ska alla anställda enligt uppgjord rutin i enlighet med arbetsgivarpolicyn både för berörd sektion, men också huvudstyrelsen för information, delge föreningen om betalda och obetalda sidouppdrag eller andra intressen som kan komma i konflikt med föreningens. </w:t>
      </w:r>
    </w:p>
    <w:p w:rsidR="00653A3D" w:rsidRDefault="00653A3D">
      <w:pPr>
        <w:rPr>
          <w:rFonts w:ascii="Calibri" w:eastAsia="Calibri" w:hAnsi="Calibri" w:cs="Calibri"/>
          <w:sz w:val="24"/>
          <w:szCs w:val="24"/>
        </w:rPr>
      </w:pPr>
    </w:p>
    <w:p w:rsidR="00653A3D" w:rsidRDefault="00F37DF5">
      <w:pPr>
        <w:rPr>
          <w:rFonts w:ascii="Calibri" w:eastAsia="Calibri" w:hAnsi="Calibri" w:cs="Calibri"/>
          <w:sz w:val="24"/>
          <w:szCs w:val="24"/>
        </w:rPr>
      </w:pPr>
      <w:r>
        <w:rPr>
          <w:rFonts w:ascii="Calibri" w:eastAsia="Calibri" w:hAnsi="Calibri" w:cs="Calibri"/>
          <w:sz w:val="24"/>
          <w:szCs w:val="24"/>
        </w:rPr>
        <w:t xml:space="preserve">Föreningen deltar aktivt som samhällsaktör och verkar för att ha en god relation med Tyresö kommun och med andra föreningar. Vi strävar efter att inta rollen som Tyresö kommuns största breddförening. Hanvikens SK står bakom Riksidrottsförbundets strategi 2025, som lyfter fram att grunden för den svenska hälsofrämjande motionerandet sker i förening. Vi är verkar för </w:t>
      </w:r>
      <w:r>
        <w:rPr>
          <w:rFonts w:ascii="Calibri" w:eastAsia="Calibri" w:hAnsi="Calibri" w:cs="Calibri"/>
          <w:sz w:val="24"/>
          <w:szCs w:val="24"/>
          <w:highlight w:val="white"/>
        </w:rPr>
        <w:t xml:space="preserve">att svensk idrott ska vidareutvecklas, samverka med andra aktörer och ge goda möjligheter att idrotta i förening. Därför är vi i grunden skeptiska till att samarbeta med </w:t>
      </w:r>
      <w:proofErr w:type="spellStart"/>
      <w:r>
        <w:rPr>
          <w:rFonts w:ascii="Calibri" w:eastAsia="Calibri" w:hAnsi="Calibri" w:cs="Calibri"/>
          <w:sz w:val="24"/>
          <w:szCs w:val="24"/>
          <w:highlight w:val="white"/>
        </w:rPr>
        <w:t>selectverksamhet</w:t>
      </w:r>
      <w:proofErr w:type="spellEnd"/>
      <w:r>
        <w:rPr>
          <w:rFonts w:ascii="Calibri" w:eastAsia="Calibri" w:hAnsi="Calibri" w:cs="Calibri"/>
          <w:sz w:val="24"/>
          <w:szCs w:val="24"/>
          <w:highlight w:val="white"/>
        </w:rPr>
        <w:t xml:space="preserve">, som bygger på andra värden än svensk idrottsrörelse. </w:t>
      </w:r>
    </w:p>
    <w:p w:rsidR="00653A3D" w:rsidRDefault="00653A3D">
      <w:pPr>
        <w:rPr>
          <w:rFonts w:ascii="Calibri" w:eastAsia="Calibri" w:hAnsi="Calibri" w:cs="Calibri"/>
        </w:rPr>
      </w:pPr>
    </w:p>
    <w:p w:rsidR="00653A3D" w:rsidRDefault="00F37DF5">
      <w:pPr>
        <w:pStyle w:val="Rubrik1"/>
      </w:pPr>
      <w:bookmarkStart w:id="14" w:name="_heading=h.1mwum7fdlmq4" w:colFirst="0" w:colLast="0"/>
      <w:bookmarkEnd w:id="14"/>
      <w:r>
        <w:t>Finansiella principer</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 xml:space="preserve">Grundläggande finansiella principer är att Hanvikens SK ska vara en ekonomisk solid förening, som alltid är långsiktig i förhållande till ekonomiska risker. För att säkra föreningens ekonomiska trygghet skall föreningens soliditet (EK/T) vara lägst 40 %. </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 xml:space="preserve">För att föreningen ska vara finansiellt stabil ska också det egna kapitalet motsvara minst 12,5 % av omsättningen. Detta gäller också respektive sektion. </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 xml:space="preserve">För att upprätthålla finansiella principer om att vara en ekonomisk solid förening, så behövs också en god kontrollprocess, ty annars kan inte de ekonomiska riskerna hanteras. Föreningen eftersträvar alltid att ha en välfungerande och dokumenterad kontrollprocess. </w:t>
      </w:r>
    </w:p>
    <w:p w:rsidR="00653A3D" w:rsidRDefault="00F37DF5">
      <w:pPr>
        <w:pStyle w:val="Rubrik2"/>
        <w:spacing w:before="480" w:after="120"/>
      </w:pPr>
      <w:bookmarkStart w:id="15" w:name="_heading=h.g2z1af9ptv2y" w:colFirst="0" w:colLast="0"/>
      <w:bookmarkEnd w:id="15"/>
      <w:proofErr w:type="spellStart"/>
      <w:r>
        <w:t>Bokföringsprinciper</w:t>
      </w:r>
      <w:proofErr w:type="spellEnd"/>
      <w:r>
        <w:t xml:space="preserve"> och ekonomisk fördelningsnyckel</w:t>
      </w:r>
    </w:p>
    <w:p w:rsidR="00653A3D" w:rsidRDefault="00F37DF5">
      <w:pPr>
        <w:spacing w:before="480" w:after="120"/>
      </w:pPr>
      <w:r>
        <w:t xml:space="preserve">Den grundläggande </w:t>
      </w:r>
      <w:proofErr w:type="gramStart"/>
      <w:r>
        <w:t>bokförings- uppföljningsprincipen</w:t>
      </w:r>
      <w:proofErr w:type="gramEnd"/>
      <w:r>
        <w:t xml:space="preserve"> för föreningen är att respektive sektion är ansvarig för sin egen budget och sin egen resultaträkning. Däremot är föreningens balansräkning, just föreningsgemensam, med undantag för eget kapital. Orsaken till detta är att respektive sektion ska ansvara för sin egen ekonomi över tid. </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Gemensamma kostnader i föreningen fördelas enligt en nyckel baserad på det genomsnittliga medlemsantalet per sektion. Denna nyckel används för att fördela exempelvis cafeteriatider och cafeteriaöverskott, men även för julgransförsäljning.</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Denna nyckel fastställs i augusti för kommande år. Basen är rullande 12 månaders period, där data tas fram 4 gånger per år. Anledningen till att den fastställs i augusti är för att förenkla budgetprocessen.</w:t>
      </w:r>
    </w:p>
    <w:p w:rsidR="00653A3D" w:rsidRDefault="00F37DF5">
      <w:pPr>
        <w:pStyle w:val="Rubrik2"/>
        <w:spacing w:before="240" w:after="240"/>
      </w:pPr>
      <w:bookmarkStart w:id="16" w:name="_heading=h.wxyuifvdhwee" w:colFirst="0" w:colLast="0"/>
      <w:bookmarkEnd w:id="16"/>
      <w:r>
        <w:lastRenderedPageBreak/>
        <w:t>Kontrollprocessen</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 xml:space="preserve">Kontrollprocessen i Hanvikens SK består av flera delar. En central del är en välfungerande budgetprocess, som består både av ett överordnat ekonomiskt ansvar hos huvudstyrelsen, men också av ett delegerat budgetansvar i varje sektion. Kontrollprocessen består också av en väldefinierad årsbokslutsprocess, samt tydliga regler för attester och delegation. </w:t>
      </w:r>
    </w:p>
    <w:p w:rsidR="00653A3D" w:rsidRDefault="00F37DF5">
      <w:pPr>
        <w:spacing w:after="160"/>
        <w:rPr>
          <w:rFonts w:ascii="Calibri" w:eastAsia="Calibri" w:hAnsi="Calibri" w:cs="Calibri"/>
          <w:sz w:val="24"/>
          <w:szCs w:val="24"/>
        </w:rPr>
      </w:pPr>
      <w:r>
        <w:rPr>
          <w:rFonts w:ascii="Calibri" w:eastAsia="Calibri" w:hAnsi="Calibri" w:cs="Calibri"/>
          <w:sz w:val="24"/>
          <w:szCs w:val="24"/>
        </w:rPr>
        <w:t xml:space="preserve">Kontrollprocessens syfte är att säkerställa en riktig, tillförlitlig och ändamålsenlig redovisning, samt trygga föreningens tillgångar och därvid förhindra att Hanvikens SK drabbas av förluster på grund av förskingringar och andra oegentligheter eller oavsiktliga fel. Kort sagt handlar det om att hantera de ekonomiska risker som nämndes ovan i dokumentet. Slutligen avser kontrollprocessen att öka effektiviteten i föreningen och säkerställa att fastlagda riktlinjer följs för att uppnå verksamhetens mål. </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 xml:space="preserve">För att skapa en så effektiv kontrollprocess som möjligt är ambitionen att alla sektioner arbetar på samma sätt i dessa processer, givet att det inte finns uppenbara fördelar för en sektion att göra annorlunda. Det innebär att hela föreningen har </w:t>
      </w:r>
      <w:proofErr w:type="gramStart"/>
      <w:r>
        <w:rPr>
          <w:rFonts w:ascii="Calibri" w:eastAsia="Calibri" w:hAnsi="Calibri" w:cs="Calibri"/>
          <w:sz w:val="24"/>
          <w:szCs w:val="24"/>
        </w:rPr>
        <w:t>en identiskt budgetprocess</w:t>
      </w:r>
      <w:proofErr w:type="gramEnd"/>
      <w:r>
        <w:rPr>
          <w:rFonts w:ascii="Calibri" w:eastAsia="Calibri" w:hAnsi="Calibri" w:cs="Calibri"/>
          <w:sz w:val="24"/>
          <w:szCs w:val="24"/>
        </w:rPr>
        <w:t xml:space="preserve"> och hanterar attestpolicys lika. </w:t>
      </w:r>
    </w:p>
    <w:p w:rsidR="00653A3D" w:rsidRDefault="00653A3D">
      <w:pPr>
        <w:spacing w:before="240" w:after="240"/>
        <w:rPr>
          <w:rFonts w:ascii="Calibri" w:eastAsia="Calibri" w:hAnsi="Calibri" w:cs="Calibri"/>
          <w:sz w:val="24"/>
          <w:szCs w:val="24"/>
        </w:rPr>
      </w:pPr>
    </w:p>
    <w:p w:rsidR="00653A3D" w:rsidRDefault="00F37DF5">
      <w:pPr>
        <w:pStyle w:val="Rubrik3"/>
        <w:spacing w:before="360" w:after="80"/>
      </w:pPr>
      <w:bookmarkStart w:id="17" w:name="_heading=h.kf3lv6gcc9lm" w:colFirst="0" w:colLast="0"/>
      <w:bookmarkEnd w:id="17"/>
      <w:r>
        <w:t xml:space="preserve">Attestpolicy och fakturahantering </w:t>
      </w:r>
    </w:p>
    <w:p w:rsidR="00653A3D" w:rsidRDefault="00F37DF5">
      <w:pPr>
        <w:spacing w:before="240" w:after="240"/>
        <w:rPr>
          <w:rFonts w:ascii="Calibri" w:eastAsia="Calibri" w:hAnsi="Calibri" w:cs="Calibri"/>
          <w:sz w:val="24"/>
          <w:szCs w:val="24"/>
        </w:rPr>
      </w:pPr>
      <w:r>
        <w:rPr>
          <w:rFonts w:ascii="Calibri" w:eastAsia="Calibri" w:hAnsi="Calibri" w:cs="Calibri"/>
          <w:sz w:val="24"/>
          <w:szCs w:val="24"/>
        </w:rPr>
        <w:t>Grundprincipen för Hanvikens attestpolicy är att personer med attesträtt ska bestyrka riktigheten för ekonomiska transaktioner inom det egna ansvarsområdet. Detta sker genom attestering av det som transaktionen avser.</w:t>
      </w:r>
    </w:p>
    <w:p w:rsidR="00653A3D" w:rsidRDefault="00F37DF5">
      <w:pPr>
        <w:spacing w:after="160" w:line="240" w:lineRule="auto"/>
        <w:rPr>
          <w:rFonts w:ascii="Calibri" w:eastAsia="Calibri" w:hAnsi="Calibri" w:cs="Calibri"/>
          <w:sz w:val="24"/>
          <w:szCs w:val="24"/>
        </w:rPr>
      </w:pPr>
      <w:bookmarkStart w:id="18" w:name="_heading=h.gjdgxs" w:colFirst="0" w:colLast="0"/>
      <w:bookmarkEnd w:id="18"/>
      <w:r>
        <w:rPr>
          <w:rFonts w:ascii="Calibri" w:eastAsia="Calibri" w:hAnsi="Calibri" w:cs="Calibri"/>
          <w:sz w:val="24"/>
          <w:szCs w:val="24"/>
        </w:rPr>
        <w:t>Attestering är ett led i den kontrollprocessen inom Hanvikens SK. Attestering innebär också ett bestyrkande av att genomförd ekonomisk transaktion handlagts enligt gällande rutiner.</w:t>
      </w:r>
    </w:p>
    <w:p w:rsidR="00653A3D" w:rsidRDefault="00653A3D">
      <w:pPr>
        <w:spacing w:after="160" w:line="240" w:lineRule="auto"/>
        <w:rPr>
          <w:rFonts w:ascii="Calibri" w:eastAsia="Calibri" w:hAnsi="Calibri" w:cs="Calibri"/>
          <w:sz w:val="24"/>
          <w:szCs w:val="24"/>
        </w:rPr>
      </w:pP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Den som attesterar ansvarar för att genomförd ekonomisk transaktion är formellt granskad och sakligt korrekt, vilket innebär att betalningsuppdraget följer gällande bestämmelser och allmän praxis inom föreningen, samt att fakturan godkänns för utbetalning. Den som attesterar säkrar att det finns underlag med alla fakta som har betydelse för beslutet och att kostnaden finns i beslutad budget. Slutligen innebär också en attest ett ansvar för att rätt kontering gjorts.</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 xml:space="preserve">Vid inköp till ett värde över 5000 kr, om kostnaden inte finns i budget, ska detta aviseras med kopia på styrelsebeslut där beslut på inköp framgår. </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lastRenderedPageBreak/>
        <w:t xml:space="preserve">Ingen får attestera egna personliga transaktioner exempelvis uppdrag-redovisningar och eventuell representation. </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Om således attestberättigad person är förhindrad att attestera, ska ärendet normalt hänskjutas till närmast högre nivå i attestorganisationen. Undantaget är ordförande i huvudstyrelsen. Där attest sker av två ledamöter i huvudstyrelsen i förening.</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 xml:space="preserve">Kansliet, xx och xx, attesterar, två i förening, kostnader upp till 10 000 kr. </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 xml:space="preserve">Ordförande och kassör attesterar var och en för sig kostnader upp till 25 000 kr och därutöver gemensamt kostnader över detta belopp. </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 xml:space="preserve">Sektionerna ansvarar för att attestera kostnader kopplade till verksamhet inom respektive sektion. Kassör och ordförande attesterar var för sig upp till 25 000 kronor och två i förening över detta belopp. </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Huvudstyrelsen kan ge ytterligare personer från huvudstyrelsen rätt att attestera. Det ska i dessa fall alltid ske två i förening. Detsamma gäller för sektionerna som kan föreslå huvudstyrelsen att ge fler personer attesträtt från sektionernas styrelse dock med den begränsningen att det alltid sker två i förening.</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 xml:space="preserve">Kostnader kopplade till sektionernas ordförande ska attesteras av huvudstyrelsens ordförande. </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Kostnader kopplade till huvudstyrelsens ordförande ska attesteras av två i förening från huvudstyrelsen.</w:t>
      </w:r>
    </w:p>
    <w:p w:rsidR="00653A3D" w:rsidRDefault="00F37DF5">
      <w:pPr>
        <w:spacing w:after="160" w:line="240" w:lineRule="auto"/>
        <w:rPr>
          <w:rFonts w:ascii="Calibri" w:eastAsia="Calibri" w:hAnsi="Calibri" w:cs="Calibri"/>
          <w:sz w:val="24"/>
          <w:szCs w:val="24"/>
        </w:rPr>
      </w:pPr>
      <w:r>
        <w:rPr>
          <w:rFonts w:ascii="Calibri" w:eastAsia="Calibri" w:hAnsi="Calibri" w:cs="Calibri"/>
          <w:sz w:val="24"/>
          <w:szCs w:val="24"/>
        </w:rPr>
        <w:t xml:space="preserve">Kostnader kopplade till anställd personal attesteras av ordförande eller kassör i huvudstyrelsen eller för den person som jobbar åt en sektion av sektionens ordförande eller kassör. </w:t>
      </w:r>
    </w:p>
    <w:p w:rsidR="00653A3D" w:rsidRDefault="00F37DF5">
      <w:pPr>
        <w:spacing w:before="240" w:after="240"/>
        <w:rPr>
          <w:rFonts w:ascii="Calibri" w:eastAsia="Calibri" w:hAnsi="Calibri" w:cs="Calibri"/>
        </w:rPr>
      </w:pPr>
      <w:r>
        <w:rPr>
          <w:rFonts w:ascii="Calibri" w:eastAsia="Calibri" w:hAnsi="Calibri" w:cs="Calibri"/>
        </w:rPr>
        <w:t>Sektionerna attesteras av kassören i rep sektion upp till en kostnad av 25 000 kronor. Kostnader över detta belopp ska attesteras av ordförande och kassör gemensamt.</w:t>
      </w:r>
    </w:p>
    <w:p w:rsidR="00653A3D" w:rsidRDefault="00653A3D">
      <w:pPr>
        <w:spacing w:before="240" w:after="240"/>
        <w:rPr>
          <w:rFonts w:ascii="Calibri" w:eastAsia="Calibri" w:hAnsi="Calibri" w:cs="Calibri"/>
        </w:rPr>
      </w:pPr>
    </w:p>
    <w:p w:rsidR="00653A3D" w:rsidRDefault="00F37DF5">
      <w:pPr>
        <w:pStyle w:val="Rubrik3"/>
        <w:spacing w:before="240" w:after="240"/>
      </w:pPr>
      <w:bookmarkStart w:id="19" w:name="_heading=h.2ryd1i2wnc4i" w:colFirst="0" w:colLast="0"/>
      <w:bookmarkEnd w:id="19"/>
      <w:r>
        <w:t>Budgetprocess</w:t>
      </w:r>
    </w:p>
    <w:p w:rsidR="00653A3D" w:rsidRDefault="00F37DF5">
      <w:pPr>
        <w:spacing w:before="240" w:after="240"/>
        <w:rPr>
          <w:rFonts w:ascii="Calibri" w:eastAsia="Calibri" w:hAnsi="Calibri" w:cs="Calibri"/>
        </w:rPr>
      </w:pPr>
      <w:r>
        <w:rPr>
          <w:rFonts w:ascii="Calibri" w:eastAsia="Calibri" w:hAnsi="Calibri" w:cs="Calibri"/>
        </w:rPr>
        <w:t>Budget görs för huvudstyrelsen, cafeterian, profilfritids, fotbollssektionen, friidrottssektionen, ishockeysektionen. Respektive sektion ansvarar för att ta fram budgetförslag. Kansli ansvarar för budgetförslag för idrottsfritids och cafeterian. Ingen budget får som utgångspunkt vara underbalanserad.</w:t>
      </w:r>
    </w:p>
    <w:p w:rsidR="00653A3D" w:rsidRDefault="00F37DF5">
      <w:pPr>
        <w:spacing w:before="240" w:after="240"/>
        <w:rPr>
          <w:rFonts w:ascii="Calibri" w:eastAsia="Calibri" w:hAnsi="Calibri" w:cs="Calibri"/>
        </w:rPr>
      </w:pPr>
      <w:r>
        <w:rPr>
          <w:rFonts w:ascii="Calibri" w:eastAsia="Calibri" w:hAnsi="Calibri" w:cs="Calibri"/>
        </w:rPr>
        <w:t>Ett utkast för varje budget ska tas fram i början av november och delas med kassör i huvudstyrelsen.</w:t>
      </w:r>
    </w:p>
    <w:p w:rsidR="00653A3D" w:rsidRDefault="00F37DF5">
      <w:pPr>
        <w:spacing w:before="240" w:after="240"/>
        <w:rPr>
          <w:rFonts w:ascii="Calibri" w:eastAsia="Calibri" w:hAnsi="Calibri" w:cs="Calibri"/>
        </w:rPr>
      </w:pPr>
      <w:r>
        <w:rPr>
          <w:rFonts w:ascii="Calibri" w:eastAsia="Calibri" w:hAnsi="Calibri" w:cs="Calibri"/>
        </w:rPr>
        <w:t xml:space="preserve">Varje sektion fattar därefter beslut på styrelsemöte i december, varpå huvudstyrelsen fattar beslut om helheten i vid sista sammanträde i december. Årsbokslutet ska vara färdigt per sista januari. Detta innebär att budget som </w:t>
      </w:r>
      <w:r>
        <w:rPr>
          <w:rFonts w:ascii="Calibri" w:eastAsia="Calibri" w:hAnsi="Calibri" w:cs="Calibri"/>
        </w:rPr>
        <w:lastRenderedPageBreak/>
        <w:t>helhet eller för sektionerna kan förändras i samråd med kassör för huvudstyrelsen under februari månad. Därefter fattas beslut om justerad budget av huvudstyrelsen.</w:t>
      </w:r>
    </w:p>
    <w:p w:rsidR="00653A3D" w:rsidRDefault="00F37DF5">
      <w:pPr>
        <w:pStyle w:val="Rubrik3"/>
        <w:spacing w:before="480" w:after="120"/>
      </w:pPr>
      <w:bookmarkStart w:id="20" w:name="_heading=h.vbz9skhry0t0" w:colFirst="0" w:colLast="0"/>
      <w:bookmarkEnd w:id="20"/>
      <w:r>
        <w:t>Årsbokslutsprocess</w:t>
      </w:r>
    </w:p>
    <w:p w:rsidR="00653A3D" w:rsidRDefault="00F37DF5">
      <w:pPr>
        <w:spacing w:before="240" w:after="240"/>
        <w:rPr>
          <w:rFonts w:ascii="Calibri" w:eastAsia="Calibri" w:hAnsi="Calibri" w:cs="Calibri"/>
        </w:rPr>
      </w:pPr>
      <w:r>
        <w:rPr>
          <w:rFonts w:ascii="Calibri" w:eastAsia="Calibri" w:hAnsi="Calibri" w:cs="Calibri"/>
        </w:rPr>
        <w:t>En viktig del av kontrollprocessen och den ekonomiska uppföljningen är en stringent årsbokslutsprocess. Årsbokslutsprocessen innehåller flera viktiga delar, såsom brytdatum för bokning av fakturor, brytdatum för löpande verifikat, brytdatum för avstämningar, brytdatum för årsbokslutsbokningar.</w:t>
      </w:r>
    </w:p>
    <w:p w:rsidR="00653A3D" w:rsidRDefault="00F37DF5">
      <w:pPr>
        <w:spacing w:before="240" w:after="240"/>
        <w:rPr>
          <w:rFonts w:ascii="Calibri" w:eastAsia="Calibri" w:hAnsi="Calibri" w:cs="Calibri"/>
        </w:rPr>
      </w:pPr>
      <w:r>
        <w:rPr>
          <w:rFonts w:ascii="Calibri" w:eastAsia="Calibri" w:hAnsi="Calibri" w:cs="Calibri"/>
        </w:rPr>
        <w:t>Ambitionen är således att årsbokslutet ska vara färdigt i mitten av februari, för genomgång av revisorerna.</w:t>
      </w:r>
    </w:p>
    <w:p w:rsidR="00653A3D" w:rsidRDefault="00F37DF5">
      <w:pPr>
        <w:spacing w:before="240" w:after="240"/>
        <w:rPr>
          <w:rFonts w:ascii="Calibri" w:eastAsia="Calibri" w:hAnsi="Calibri" w:cs="Calibri"/>
        </w:rPr>
      </w:pPr>
      <w:r>
        <w:rPr>
          <w:rFonts w:ascii="Calibri" w:eastAsia="Calibri" w:hAnsi="Calibri" w:cs="Calibri"/>
        </w:rPr>
        <w:t xml:space="preserve"> </w:t>
      </w:r>
    </w:p>
    <w:p w:rsidR="00653A3D" w:rsidRDefault="00F37DF5">
      <w:pPr>
        <w:spacing w:before="240" w:after="240"/>
        <w:rPr>
          <w:rFonts w:ascii="Calibri" w:eastAsia="Calibri" w:hAnsi="Calibri" w:cs="Calibri"/>
        </w:rPr>
      </w:pPr>
      <w:r>
        <w:rPr>
          <w:rFonts w:ascii="Calibri" w:eastAsia="Calibri" w:hAnsi="Calibri" w:cs="Calibri"/>
        </w:rPr>
        <w:t>Påminnelse om deadline för kvitton 2020-12-01</w:t>
      </w:r>
    </w:p>
    <w:p w:rsidR="00653A3D" w:rsidRDefault="00F37DF5">
      <w:pPr>
        <w:spacing w:before="240" w:after="240"/>
        <w:rPr>
          <w:rFonts w:ascii="Calibri" w:eastAsia="Calibri" w:hAnsi="Calibri" w:cs="Calibri"/>
        </w:rPr>
      </w:pPr>
      <w:r>
        <w:rPr>
          <w:rFonts w:ascii="Calibri" w:eastAsia="Calibri" w:hAnsi="Calibri" w:cs="Calibri"/>
        </w:rPr>
        <w:t>Sista datum för inlämning av kvitton 2020-12-15</w:t>
      </w:r>
    </w:p>
    <w:p w:rsidR="00653A3D" w:rsidRDefault="00F37DF5">
      <w:pPr>
        <w:spacing w:before="240" w:after="240"/>
        <w:rPr>
          <w:rFonts w:ascii="Calibri" w:eastAsia="Calibri" w:hAnsi="Calibri" w:cs="Calibri"/>
        </w:rPr>
      </w:pPr>
      <w:r>
        <w:rPr>
          <w:rFonts w:ascii="Calibri" w:eastAsia="Calibri" w:hAnsi="Calibri" w:cs="Calibri"/>
        </w:rPr>
        <w:t>Stoppdatum bankningar – 2020-12-21</w:t>
      </w:r>
    </w:p>
    <w:p w:rsidR="00653A3D" w:rsidRDefault="00F37DF5">
      <w:pPr>
        <w:spacing w:before="240" w:after="240"/>
        <w:rPr>
          <w:rFonts w:ascii="Calibri" w:eastAsia="Calibri" w:hAnsi="Calibri" w:cs="Calibri"/>
        </w:rPr>
      </w:pPr>
      <w:r>
        <w:rPr>
          <w:rFonts w:ascii="Calibri" w:eastAsia="Calibri" w:hAnsi="Calibri" w:cs="Calibri"/>
        </w:rPr>
        <w:t>Brytdatum framtagande av MC-underlag- 2020-01-08</w:t>
      </w:r>
    </w:p>
    <w:p w:rsidR="00653A3D" w:rsidRDefault="00F37DF5">
      <w:pPr>
        <w:spacing w:before="240" w:after="240"/>
        <w:rPr>
          <w:rFonts w:ascii="Calibri" w:eastAsia="Calibri" w:hAnsi="Calibri" w:cs="Calibri"/>
        </w:rPr>
      </w:pPr>
      <w:r>
        <w:rPr>
          <w:rFonts w:ascii="Calibri" w:eastAsia="Calibri" w:hAnsi="Calibri" w:cs="Calibri"/>
        </w:rPr>
        <w:t>Avstämning kontanter – 2021-01-11</w:t>
      </w:r>
    </w:p>
    <w:p w:rsidR="00653A3D" w:rsidRDefault="00F37DF5">
      <w:pPr>
        <w:spacing w:before="240" w:after="240"/>
        <w:rPr>
          <w:rFonts w:ascii="Calibri" w:eastAsia="Calibri" w:hAnsi="Calibri" w:cs="Calibri"/>
        </w:rPr>
      </w:pPr>
      <w:r>
        <w:rPr>
          <w:rFonts w:ascii="Calibri" w:eastAsia="Calibri" w:hAnsi="Calibri" w:cs="Calibri"/>
        </w:rPr>
        <w:t>Brytdatum för bokningar av kvitton – 2021-01-15</w:t>
      </w:r>
    </w:p>
    <w:p w:rsidR="00653A3D" w:rsidRDefault="00F37DF5">
      <w:pPr>
        <w:spacing w:before="240" w:after="240"/>
        <w:rPr>
          <w:rFonts w:ascii="Calibri" w:eastAsia="Calibri" w:hAnsi="Calibri" w:cs="Calibri"/>
        </w:rPr>
      </w:pPr>
      <w:r>
        <w:rPr>
          <w:rFonts w:ascii="Calibri" w:eastAsia="Calibri" w:hAnsi="Calibri" w:cs="Calibri"/>
        </w:rPr>
        <w:t>Brytdatum för löpande verifikat – 2021-01-15</w:t>
      </w:r>
    </w:p>
    <w:p w:rsidR="00653A3D" w:rsidRDefault="00F37DF5">
      <w:pPr>
        <w:spacing w:before="240" w:after="240"/>
        <w:rPr>
          <w:rFonts w:ascii="Calibri" w:eastAsia="Calibri" w:hAnsi="Calibri" w:cs="Calibri"/>
        </w:rPr>
      </w:pPr>
      <w:r>
        <w:rPr>
          <w:rFonts w:ascii="Calibri" w:eastAsia="Calibri" w:hAnsi="Calibri" w:cs="Calibri"/>
        </w:rPr>
        <w:t>Brytdatum för bokning av fakturor – 2021-01-20</w:t>
      </w:r>
    </w:p>
    <w:p w:rsidR="00653A3D" w:rsidRDefault="00F37DF5">
      <w:pPr>
        <w:spacing w:before="240" w:after="240"/>
        <w:rPr>
          <w:rFonts w:ascii="Calibri" w:eastAsia="Calibri" w:hAnsi="Calibri" w:cs="Calibri"/>
        </w:rPr>
      </w:pPr>
      <w:r>
        <w:rPr>
          <w:rFonts w:ascii="Calibri" w:eastAsia="Calibri" w:hAnsi="Calibri" w:cs="Calibri"/>
        </w:rPr>
        <w:t>Stopp för sektionernas granskning – 2021-01-22</w:t>
      </w:r>
    </w:p>
    <w:p w:rsidR="00653A3D" w:rsidRDefault="00F37DF5">
      <w:pPr>
        <w:spacing w:before="240" w:after="240"/>
        <w:rPr>
          <w:rFonts w:ascii="Calibri" w:eastAsia="Calibri" w:hAnsi="Calibri" w:cs="Calibri"/>
        </w:rPr>
      </w:pPr>
      <w:r>
        <w:rPr>
          <w:rFonts w:ascii="Calibri" w:eastAsia="Calibri" w:hAnsi="Calibri" w:cs="Calibri"/>
        </w:rPr>
        <w:t>Brytdatum för avstämningar – 2021-01-25</w:t>
      </w:r>
    </w:p>
    <w:p w:rsidR="00653A3D" w:rsidRDefault="00F37DF5">
      <w:pPr>
        <w:spacing w:before="240" w:after="240"/>
        <w:rPr>
          <w:rFonts w:ascii="Calibri" w:eastAsia="Calibri" w:hAnsi="Calibri" w:cs="Calibri"/>
        </w:rPr>
      </w:pPr>
      <w:r>
        <w:rPr>
          <w:rFonts w:ascii="Calibri" w:eastAsia="Calibri" w:hAnsi="Calibri" w:cs="Calibri"/>
        </w:rPr>
        <w:t>Avstämning eget kapital – 2021-01-25</w:t>
      </w:r>
    </w:p>
    <w:p w:rsidR="00653A3D" w:rsidRDefault="00F37DF5">
      <w:pPr>
        <w:spacing w:before="240" w:after="240"/>
        <w:rPr>
          <w:rFonts w:ascii="Calibri" w:eastAsia="Calibri" w:hAnsi="Calibri" w:cs="Calibri"/>
        </w:rPr>
      </w:pPr>
      <w:r>
        <w:rPr>
          <w:rFonts w:ascii="Calibri" w:eastAsia="Calibri" w:hAnsi="Calibri" w:cs="Calibri"/>
        </w:rPr>
        <w:t>Brytdatum för årsbokslutsbokningar – 2021-02-02</w:t>
      </w:r>
    </w:p>
    <w:p w:rsidR="00653A3D" w:rsidRDefault="00F37DF5">
      <w:pPr>
        <w:spacing w:before="240" w:after="240"/>
        <w:rPr>
          <w:rFonts w:ascii="Calibri" w:eastAsia="Calibri" w:hAnsi="Calibri" w:cs="Calibri"/>
        </w:rPr>
      </w:pPr>
      <w:r>
        <w:rPr>
          <w:rFonts w:ascii="Calibri" w:eastAsia="Calibri" w:hAnsi="Calibri" w:cs="Calibri"/>
        </w:rPr>
        <w:t>Avstämning mellan bokföring och årsmöteshandlingar – 2021-02-05</w:t>
      </w:r>
    </w:p>
    <w:p w:rsidR="00653A3D" w:rsidRDefault="00653A3D">
      <w:pPr>
        <w:spacing w:before="240" w:after="240"/>
        <w:rPr>
          <w:rFonts w:ascii="Calibri" w:eastAsia="Calibri" w:hAnsi="Calibri" w:cs="Calibri"/>
        </w:rPr>
      </w:pPr>
    </w:p>
    <w:p w:rsidR="00653A3D" w:rsidRDefault="00F37DF5">
      <w:pPr>
        <w:spacing w:before="240" w:after="240"/>
        <w:rPr>
          <w:rFonts w:ascii="Calibri" w:eastAsia="Calibri" w:hAnsi="Calibri" w:cs="Calibri"/>
        </w:rPr>
      </w:pPr>
      <w:r>
        <w:rPr>
          <w:rFonts w:ascii="Calibri" w:eastAsia="Calibri" w:hAnsi="Calibri" w:cs="Calibri"/>
        </w:rPr>
        <w:lastRenderedPageBreak/>
        <w:t xml:space="preserve">Avsikten med dessa tidsgränser är att ekonomin ska vara hanterad i mitten av februari. Då årsmötet enligt stadgarna ska hanteras i mars, så behöver årsbokslutsprocessen vara färdig då. </w:t>
      </w:r>
    </w:p>
    <w:p w:rsidR="00653A3D" w:rsidRDefault="00653A3D">
      <w:pPr>
        <w:spacing w:before="240" w:after="240"/>
        <w:rPr>
          <w:rFonts w:ascii="Calibri" w:eastAsia="Calibri" w:hAnsi="Calibri" w:cs="Calibri"/>
        </w:rPr>
      </w:pPr>
    </w:p>
    <w:p w:rsidR="00653A3D" w:rsidRDefault="00F37DF5">
      <w:pPr>
        <w:spacing w:before="240" w:after="240"/>
        <w:rPr>
          <w:rFonts w:ascii="Calibri" w:eastAsia="Calibri" w:hAnsi="Calibri" w:cs="Calibri"/>
        </w:rPr>
      </w:pPr>
      <w:r>
        <w:rPr>
          <w:rFonts w:ascii="Calibri" w:eastAsia="Calibri" w:hAnsi="Calibri" w:cs="Calibri"/>
        </w:rPr>
        <w:t xml:space="preserve"> </w:t>
      </w:r>
    </w:p>
    <w:p w:rsidR="00653A3D" w:rsidRDefault="00653A3D">
      <w:pPr>
        <w:spacing w:before="240" w:after="240"/>
        <w:rPr>
          <w:rFonts w:ascii="Calibri" w:eastAsia="Calibri" w:hAnsi="Calibri" w:cs="Calibri"/>
        </w:rPr>
      </w:pPr>
    </w:p>
    <w:p w:rsidR="00653A3D" w:rsidRDefault="00653A3D">
      <w:pPr>
        <w:pBdr>
          <w:top w:val="nil"/>
          <w:left w:val="nil"/>
          <w:bottom w:val="nil"/>
          <w:right w:val="nil"/>
          <w:between w:val="nil"/>
        </w:pBdr>
        <w:rPr>
          <w:rFonts w:ascii="Calibri" w:eastAsia="Calibri" w:hAnsi="Calibri" w:cs="Calibri"/>
        </w:rPr>
      </w:pPr>
    </w:p>
    <w:p w:rsidR="00653A3D" w:rsidRDefault="00653A3D">
      <w:pPr>
        <w:pBdr>
          <w:top w:val="nil"/>
          <w:left w:val="nil"/>
          <w:bottom w:val="nil"/>
          <w:right w:val="nil"/>
          <w:between w:val="nil"/>
        </w:pBdr>
        <w:rPr>
          <w:rFonts w:ascii="Calibri" w:eastAsia="Calibri" w:hAnsi="Calibri" w:cs="Calibri"/>
        </w:rPr>
      </w:pPr>
    </w:p>
    <w:sectPr w:rsidR="00653A3D">
      <w:headerReference w:type="default" r:id="rId9"/>
      <w:pgSz w:w="11909" w:h="16834"/>
      <w:pgMar w:top="1440" w:right="855" w:bottom="1440" w:left="99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DF5" w:rsidRDefault="00F37DF5">
      <w:pPr>
        <w:spacing w:line="240" w:lineRule="auto"/>
      </w:pPr>
      <w:r>
        <w:separator/>
      </w:r>
    </w:p>
  </w:endnote>
  <w:endnote w:type="continuationSeparator" w:id="0">
    <w:p w:rsidR="00F37DF5" w:rsidRDefault="00F37D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DF5" w:rsidRDefault="00F37DF5">
      <w:pPr>
        <w:spacing w:line="240" w:lineRule="auto"/>
      </w:pPr>
      <w:r>
        <w:separator/>
      </w:r>
    </w:p>
  </w:footnote>
  <w:footnote w:type="continuationSeparator" w:id="0">
    <w:p w:rsidR="00F37DF5" w:rsidRDefault="00F37D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3A3D" w:rsidRDefault="00F37DF5">
    <w:pPr>
      <w:pBdr>
        <w:top w:val="nil"/>
        <w:left w:val="nil"/>
        <w:bottom w:val="nil"/>
        <w:right w:val="nil"/>
        <w:between w:val="nil"/>
      </w:pBdr>
      <w:rPr>
        <w:sz w:val="36"/>
        <w:szCs w:val="36"/>
      </w:rPr>
    </w:pPr>
    <w:r>
      <w:rPr>
        <w:noProof/>
      </w:rPr>
      <w:drawing>
        <wp:anchor distT="228600" distB="228600" distL="228600" distR="228600" simplePos="0" relativeHeight="251658240" behindDoc="0" locked="0" layoutInCell="1" hidden="0" allowOverlap="1">
          <wp:simplePos x="0" y="0"/>
          <wp:positionH relativeFrom="column">
            <wp:posOffset>1</wp:posOffset>
          </wp:positionH>
          <wp:positionV relativeFrom="paragraph">
            <wp:posOffset>314325</wp:posOffset>
          </wp:positionV>
          <wp:extent cx="871538" cy="871538"/>
          <wp:effectExtent l="0" t="0" r="0" b="0"/>
          <wp:wrapSquare wrapText="bothSides" distT="228600" distB="228600" distL="228600" distR="228600"/>
          <wp:docPr id="6" name="image1.jpg" descr="jubileumslogga_org.jpg"/>
          <wp:cNvGraphicFramePr/>
          <a:graphic xmlns:a="http://schemas.openxmlformats.org/drawingml/2006/main">
            <a:graphicData uri="http://schemas.openxmlformats.org/drawingml/2006/picture">
              <pic:pic xmlns:pic="http://schemas.openxmlformats.org/drawingml/2006/picture">
                <pic:nvPicPr>
                  <pic:cNvPr id="0" name="image1.jpg" descr="jubileumslogga_org.jpg"/>
                  <pic:cNvPicPr preferRelativeResize="0"/>
                </pic:nvPicPr>
                <pic:blipFill>
                  <a:blip r:embed="rId1"/>
                  <a:srcRect/>
                  <a:stretch>
                    <a:fillRect/>
                  </a:stretch>
                </pic:blipFill>
                <pic:spPr>
                  <a:xfrm>
                    <a:off x="0" y="0"/>
                    <a:ext cx="871538" cy="871538"/>
                  </a:xfrm>
                  <a:prstGeom prst="rect">
                    <a:avLst/>
                  </a:prstGeom>
                  <a:ln/>
                </pic:spPr>
              </pic:pic>
            </a:graphicData>
          </a:graphic>
        </wp:anchor>
      </w:drawing>
    </w:r>
  </w:p>
  <w:tbl>
    <w:tblPr>
      <w:tblStyle w:val="ab"/>
      <w:tblW w:w="1005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1845"/>
      <w:gridCol w:w="8205"/>
    </w:tblGrid>
    <w:tr w:rsidR="00653A3D">
      <w:trPr>
        <w:trHeight w:val="600"/>
      </w:trPr>
      <w:tc>
        <w:tcPr>
          <w:tcW w:w="1845" w:type="dxa"/>
          <w:shd w:val="clear" w:color="auto" w:fill="auto"/>
          <w:tcMar>
            <w:top w:w="100" w:type="dxa"/>
            <w:left w:w="100" w:type="dxa"/>
            <w:bottom w:w="100" w:type="dxa"/>
            <w:right w:w="100" w:type="dxa"/>
          </w:tcMar>
        </w:tcPr>
        <w:p w:rsidR="00653A3D" w:rsidRDefault="00653A3D">
          <w:pPr>
            <w:pBdr>
              <w:top w:val="nil"/>
              <w:left w:val="nil"/>
              <w:bottom w:val="nil"/>
              <w:right w:val="nil"/>
              <w:between w:val="nil"/>
            </w:pBdr>
            <w:rPr>
              <w:sz w:val="36"/>
              <w:szCs w:val="36"/>
            </w:rPr>
          </w:pPr>
        </w:p>
      </w:tc>
      <w:tc>
        <w:tcPr>
          <w:tcW w:w="8205" w:type="dxa"/>
          <w:shd w:val="clear" w:color="auto" w:fill="auto"/>
          <w:tcMar>
            <w:top w:w="100" w:type="dxa"/>
            <w:left w:w="100" w:type="dxa"/>
            <w:bottom w:w="100" w:type="dxa"/>
            <w:right w:w="100" w:type="dxa"/>
          </w:tcMar>
        </w:tcPr>
        <w:p w:rsidR="00653A3D" w:rsidRDefault="00F37DF5">
          <w:pPr>
            <w:pBdr>
              <w:top w:val="nil"/>
              <w:left w:val="nil"/>
              <w:bottom w:val="nil"/>
              <w:right w:val="nil"/>
              <w:between w:val="nil"/>
            </w:pBdr>
            <w:rPr>
              <w:sz w:val="36"/>
              <w:szCs w:val="36"/>
            </w:rPr>
          </w:pPr>
          <w:r>
            <w:rPr>
              <w:sz w:val="36"/>
              <w:szCs w:val="36"/>
            </w:rPr>
            <w:t xml:space="preserve">Hanvikens </w:t>
          </w:r>
          <w:proofErr w:type="spellStart"/>
          <w:r>
            <w:rPr>
              <w:sz w:val="36"/>
              <w:szCs w:val="36"/>
            </w:rPr>
            <w:t>SportKlubb</w:t>
          </w:r>
          <w:proofErr w:type="spellEnd"/>
        </w:p>
        <w:p w:rsidR="00653A3D" w:rsidRDefault="00653A3D">
          <w:pPr>
            <w:pBdr>
              <w:top w:val="nil"/>
              <w:left w:val="nil"/>
              <w:bottom w:val="nil"/>
              <w:right w:val="nil"/>
              <w:between w:val="nil"/>
            </w:pBdr>
          </w:pPr>
        </w:p>
      </w:tc>
    </w:tr>
  </w:tbl>
  <w:p w:rsidR="00653A3D" w:rsidRDefault="00653A3D">
    <w:pPr>
      <w:pBdr>
        <w:top w:val="nil"/>
        <w:left w:val="nil"/>
        <w:bottom w:val="nil"/>
        <w:right w:val="nil"/>
        <w:between w:val="nil"/>
      </w:pBdr>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A3D"/>
    <w:rsid w:val="00653A3D"/>
    <w:rsid w:val="008E6BC5"/>
    <w:rsid w:val="00B335FB"/>
    <w:rsid w:val="00EB5C73"/>
    <w:rsid w:val="00F37DF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22F9D"/>
  <w15:docId w15:val="{F112C3AD-F8B3-408C-A79D-A134456B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Rubrik2">
    <w:name w:val="heading 2"/>
    <w:basedOn w:val="Normal"/>
    <w:next w:val="Normal"/>
    <w:uiPriority w:val="9"/>
    <w:unhideWhenUsed/>
    <w:qFormat/>
    <w:pPr>
      <w:keepNext/>
      <w:keepLines/>
      <w:spacing w:before="200"/>
      <w:outlineLvl w:val="1"/>
    </w:pPr>
    <w:rPr>
      <w:rFonts w:ascii="Trebuchet MS" w:eastAsia="Trebuchet MS" w:hAnsi="Trebuchet MS" w:cs="Trebuchet MS"/>
      <w:b/>
      <w:sz w:val="26"/>
      <w:szCs w:val="26"/>
    </w:rPr>
  </w:style>
  <w:style w:type="paragraph" w:styleId="Rubrik3">
    <w:name w:val="heading 3"/>
    <w:basedOn w:val="Normal"/>
    <w:next w:val="Normal"/>
    <w:uiPriority w:val="9"/>
    <w:unhideWhenUsed/>
    <w:qFormat/>
    <w:pPr>
      <w:keepNext/>
      <w:keepLines/>
      <w:spacing w:before="160"/>
      <w:outlineLvl w:val="2"/>
    </w:pPr>
    <w:rPr>
      <w:rFonts w:ascii="Trebuchet MS" w:eastAsia="Trebuchet MS" w:hAnsi="Trebuchet MS" w:cs="Trebuchet MS"/>
      <w:b/>
      <w:color w:val="666666"/>
      <w:sz w:val="24"/>
      <w:szCs w:val="24"/>
    </w:rPr>
  </w:style>
  <w:style w:type="paragraph" w:styleId="Rubrik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Rubrik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Rubrik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pPr>
    <w:rPr>
      <w:rFonts w:ascii="Trebuchet MS" w:eastAsia="Trebuchet MS" w:hAnsi="Trebuchet MS" w:cs="Trebuchet MS"/>
      <w:sz w:val="42"/>
      <w:szCs w:val="4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Underrubrik">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table" w:customStyle="1" w:styleId="a">
    <w:basedOn w:val="TableNormal4"/>
    <w:tblPr>
      <w:tblStyleRowBandSize w:val="1"/>
      <w:tblStyleColBandSize w:val="1"/>
      <w:tblCellMar>
        <w:top w:w="100" w:type="dxa"/>
        <w:left w:w="100" w:type="dxa"/>
        <w:bottom w:w="100" w:type="dxa"/>
        <w:right w:w="100" w:type="dxa"/>
      </w:tblCellMar>
    </w:tblPr>
  </w:style>
  <w:style w:type="table" w:customStyle="1" w:styleId="a0">
    <w:basedOn w:val="TableNormal4"/>
    <w:tblPr>
      <w:tblStyleRowBandSize w:val="1"/>
      <w:tblStyleColBandSize w:val="1"/>
      <w:tblCellMar>
        <w:top w:w="100" w:type="dxa"/>
        <w:left w:w="100" w:type="dxa"/>
        <w:bottom w:w="100" w:type="dxa"/>
        <w:right w:w="100" w:type="dxa"/>
      </w:tblCellMar>
    </w:tblPr>
  </w:style>
  <w:style w:type="table" w:customStyle="1" w:styleId="a1">
    <w:basedOn w:val="TableNormal4"/>
    <w:tblPr>
      <w:tblStyleRowBandSize w:val="1"/>
      <w:tblStyleColBandSize w:val="1"/>
      <w:tblCellMar>
        <w:top w:w="100" w:type="dxa"/>
        <w:left w:w="100" w:type="dxa"/>
        <w:bottom w:w="100" w:type="dxa"/>
        <w:right w:w="100" w:type="dxa"/>
      </w:tblCellMar>
    </w:tblPr>
  </w:style>
  <w:style w:type="paragraph" w:styleId="Sidhuvud">
    <w:name w:val="header"/>
    <w:basedOn w:val="Normal"/>
    <w:link w:val="SidhuvudChar"/>
    <w:uiPriority w:val="99"/>
    <w:unhideWhenUsed/>
    <w:rsid w:val="007A0557"/>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7A0557"/>
  </w:style>
  <w:style w:type="paragraph" w:styleId="Sidfot">
    <w:name w:val="footer"/>
    <w:basedOn w:val="Normal"/>
    <w:link w:val="SidfotChar"/>
    <w:uiPriority w:val="99"/>
    <w:unhideWhenUsed/>
    <w:rsid w:val="007A0557"/>
    <w:pPr>
      <w:tabs>
        <w:tab w:val="center" w:pos="4536"/>
        <w:tab w:val="right" w:pos="9072"/>
      </w:tabs>
      <w:spacing w:line="240" w:lineRule="auto"/>
    </w:pPr>
  </w:style>
  <w:style w:type="character" w:customStyle="1" w:styleId="SidfotChar">
    <w:name w:val="Sidfot Char"/>
    <w:basedOn w:val="Standardstycketeckensnitt"/>
    <w:link w:val="Sidfot"/>
    <w:uiPriority w:val="99"/>
    <w:rsid w:val="007A0557"/>
  </w:style>
  <w:style w:type="table" w:customStyle="1" w:styleId="a2">
    <w:basedOn w:val="TableNormal4"/>
    <w:tblPr>
      <w:tblStyleRowBandSize w:val="1"/>
      <w:tblStyleColBandSize w:val="1"/>
      <w:tblCellMar>
        <w:top w:w="100" w:type="dxa"/>
        <w:left w:w="100" w:type="dxa"/>
        <w:bottom w:w="100" w:type="dxa"/>
        <w:right w:w="100" w:type="dxa"/>
      </w:tblCellMar>
    </w:tblPr>
  </w:style>
  <w:style w:type="table" w:customStyle="1" w:styleId="a3">
    <w:basedOn w:val="TableNormal4"/>
    <w:tblPr>
      <w:tblStyleRowBandSize w:val="1"/>
      <w:tblStyleColBandSize w:val="1"/>
      <w:tblCellMar>
        <w:top w:w="100" w:type="dxa"/>
        <w:left w:w="100" w:type="dxa"/>
        <w:bottom w:w="100" w:type="dxa"/>
        <w:right w:w="100" w:type="dxa"/>
      </w:tblCellMar>
    </w:tblPr>
  </w:style>
  <w:style w:type="table" w:customStyle="1" w:styleId="a4">
    <w:basedOn w:val="TableNormal4"/>
    <w:tblPr>
      <w:tblStyleRowBandSize w:val="1"/>
      <w:tblStyleColBandSize w:val="1"/>
      <w:tblCellMar>
        <w:top w:w="100" w:type="dxa"/>
        <w:left w:w="100" w:type="dxa"/>
        <w:bottom w:w="100" w:type="dxa"/>
        <w:right w:w="100" w:type="dxa"/>
      </w:tblCellMar>
    </w:tblPr>
  </w:style>
  <w:style w:type="table" w:customStyle="1" w:styleId="a5">
    <w:basedOn w:val="TableNormal4"/>
    <w:tblPr>
      <w:tblStyleRowBandSize w:val="1"/>
      <w:tblStyleColBandSize w:val="1"/>
      <w:tblCellMar>
        <w:top w:w="100" w:type="dxa"/>
        <w:left w:w="100" w:type="dxa"/>
        <w:bottom w:w="100" w:type="dxa"/>
        <w:right w:w="100" w:type="dxa"/>
      </w:tblCellMar>
    </w:tblPr>
  </w:style>
  <w:style w:type="table" w:customStyle="1" w:styleId="a6">
    <w:basedOn w:val="TableNormal4"/>
    <w:tblPr>
      <w:tblStyleRowBandSize w:val="1"/>
      <w:tblStyleColBandSize w:val="1"/>
      <w:tblCellMar>
        <w:top w:w="100" w:type="dxa"/>
        <w:left w:w="100" w:type="dxa"/>
        <w:bottom w:w="100" w:type="dxa"/>
        <w:right w:w="100" w:type="dxa"/>
      </w:tblCellMar>
    </w:tblPr>
  </w:style>
  <w:style w:type="table" w:customStyle="1" w:styleId="a7">
    <w:basedOn w:val="TableNormal4"/>
    <w:tblPr>
      <w:tblStyleRowBandSize w:val="1"/>
      <w:tblStyleColBandSize w:val="1"/>
      <w:tblCellMar>
        <w:top w:w="100" w:type="dxa"/>
        <w:left w:w="100" w:type="dxa"/>
        <w:bottom w:w="100" w:type="dxa"/>
        <w:right w:w="100" w:type="dxa"/>
      </w:tblCellMar>
    </w:tblPr>
  </w:style>
  <w:style w:type="table" w:customStyle="1" w:styleId="a8">
    <w:basedOn w:val="TableNormal4"/>
    <w:tblPr>
      <w:tblStyleRowBandSize w:val="1"/>
      <w:tblStyleColBandSize w:val="1"/>
      <w:tblCellMar>
        <w:top w:w="100" w:type="dxa"/>
        <w:left w:w="100" w:type="dxa"/>
        <w:bottom w:w="100" w:type="dxa"/>
        <w:right w:w="100" w:type="dxa"/>
      </w:tblCellMar>
    </w:tblPr>
  </w:style>
  <w:style w:type="table" w:customStyle="1" w:styleId="a9">
    <w:basedOn w:val="TableNormal4"/>
    <w:tblPr>
      <w:tblStyleRowBandSize w:val="1"/>
      <w:tblStyleColBandSize w:val="1"/>
      <w:tblCellMar>
        <w:top w:w="100" w:type="dxa"/>
        <w:left w:w="100" w:type="dxa"/>
        <w:bottom w:w="100" w:type="dxa"/>
        <w:right w:w="100" w:type="dxa"/>
      </w:tblCellMar>
    </w:tblPr>
  </w:style>
  <w:style w:type="table" w:customStyle="1" w:styleId="aa">
    <w:basedOn w:val="TableNormal4"/>
    <w:tblPr>
      <w:tblStyleRowBandSize w:val="1"/>
      <w:tblStyleColBandSize w:val="1"/>
      <w:tblCellMar>
        <w:top w:w="100" w:type="dxa"/>
        <w:left w:w="100" w:type="dxa"/>
        <w:bottom w:w="100" w:type="dxa"/>
        <w:right w:w="100" w:type="dxa"/>
      </w:tblCellMar>
    </w:tblPr>
  </w:style>
  <w:style w:type="table" w:customStyle="1" w:styleId="ab">
    <w:basedOn w:val="TableNormal4"/>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sli@hanvikenssk.se" TargetMode="External"/><Relationship Id="rId3" Type="http://schemas.openxmlformats.org/officeDocument/2006/relationships/settings" Target="settings.xml"/><Relationship Id="rId7" Type="http://schemas.openxmlformats.org/officeDocument/2006/relationships/hyperlink" Target="mailto:idrottsombudsmannen@rf.s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WWP8mEi1cq+b0vB3cM0UWJXvxw==">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3080</Words>
  <Characters>16330</Characters>
  <Application>Microsoft Office Word</Application>
  <DocSecurity>0</DocSecurity>
  <Lines>136</Lines>
  <Paragraphs>38</Paragraphs>
  <ScaleCrop>false</ScaleCrop>
  <Company/>
  <LinksUpToDate>false</LinksUpToDate>
  <CharactersWithSpaces>19372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Mathias Tegnér</dc:creator>
  <cp:lastModifiedBy>Mathias Tegnér</cp:lastModifiedBy>
  <cp:revision>5</cp:revision>
  <dcterms:created xsi:type="dcterms:W3CDTF">2019-08-25T14:34:00Z</dcterms:created>
  <dcterms:modified xsi:type="dcterms:W3CDTF">2020-10-25T14:09:00Z</dcterms:modified>
</cp:coreProperties>
</file>